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辽宁省盘锦市大洼区人才储备中心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辽宁省盘锦市大洼区人才储备中心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辽宁省盘锦市大洼区人才储备中心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辽宁省盘锦市大洼区人才储备中心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辽宁省盘锦市大洼区人才储备中心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辽宁省盘锦市大洼区人才储备中心概况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（一）负责机关电子政务和信息化建设日常工作。</w:t>
        <w:br/>
        <w:t xml:space="preserve">    （二）指导规范党政群机关、事业单位和其他非营利性单位网上名称工作。</w:t>
        <w:br/>
        <w:t xml:space="preserve">    （三）规范区委机构编制委员会办公室官方网站建设。</w:t>
        <w:br/>
        <w:t xml:space="preserve">    （四）负责机构编制管理业务系统、办公系统软件开发的组织协调工作，为区本级机构编制实名制数据变更提供技术性、服务性保障。</w:t>
        <w:br/>
        <w:t xml:space="preserve">    （五）为全区机构编制统计工作提供事务性服务，负责与中央、省委、市委机构编制部门数据联网及数据报送工作。</w:t>
        <w:br/>
        <w:t xml:space="preserve">    （六）统筹管理区本级储备的事业编制，统筹分配、划拨紧缺人才使用的事业编制，及时收回人才流动后占用的编制，负责管理机构撤并、特殊管理等事业单位收回的编制。</w:t>
        <w:br/>
        <w:t xml:space="preserve">    （七）发挥“大洼区人才基地”作用，对进入本中心人员严格把关，掌握全区事业单位人员年龄、学历、专业、熟悉领域等要素，及时向区直相关单位输送各类人才。</w:t>
        <w:br/>
        <w:t xml:space="preserve">    （八）协调对事业单位相关人员分门别类开展专业技能培训，提高事业单位人员的组织、协调、业务等能力水平，努力培养出适应岗位需求的人才。</w:t>
        <w:br/>
        <w:t xml:space="preserve">    （九）承担区委编办交办的其他工作。</w:t>
        <w:br/>
        <w:t xml:space="preserve">    二、机构设置</w:t>
        <w:br/>
        <w:t xml:space="preserve">    根据本部门主要职责，内设机构如下：</w:t>
        <w:br/>
        <w:t xml:space="preserve">    1. 党政群工作办公室</w:t>
        <w:br/>
        <w:t xml:space="preserve">    负责党群和纪检工作；负责文电、信息、档案、保密、信访、会务、文字综合等工作；负责财务管理、资产管理、政府采购、财务审计等工作；负责机构编制、人事管理、离退休干部管理等工作；负责保障服务工作；负责保卫、消防等安全工作。</w:t>
        <w:br/>
        <w:t xml:space="preserve">    2. 电子政务室</w:t>
        <w:br/>
        <w:t xml:space="preserve">    负责机关电子政务和信息化建设日常工作；指导规范党政群机关、事业单位和其他非营利性单位网上名称工作；规范区机构编制委员会办公室官方网站建设；负责机构编制管理业务系统、办公系统软件开发的组织协调工作。</w:t>
        <w:br/>
        <w:t xml:space="preserve">    3. 编制统计室</w:t>
        <w:br/>
        <w:t xml:space="preserve">    负责全区机构编制统计工作；负责区本级机构编制实名制数据变更调整；负责与中央、省委、市委机构编制部门数据联网及数据报送工作。</w:t>
        <w:br/>
        <w:t xml:space="preserve">    4. 人才管理室</w:t>
        <w:br/>
        <w:t xml:space="preserve">    负责对进入人才储备管理中心的人员严格把关，适时对外遴选各类人才，及时向事业单位输送相关人才；统筹分配、划拨紧缺人才使用的事业编制。</w:t>
        <w:br/>
        <w:t xml:space="preserve">    5. 编制储备室</w:t>
        <w:br/>
        <w:t xml:space="preserve">    统筹管理区本级储备的事业编制，及时收回人才流动后占用的编制；负责管理机构撤并、特殊管理等事业单位收回的编制。</w:t>
        <w:br/>
        <w:t xml:space="preserve">    6.人才信息储备室</w:t>
        <w:br/>
        <w:t xml:space="preserve">    选取各类人才，动态调整信息，为区直相关单位输送人才提供数据支撑。</w:t>
        <w:br/>
        <w:t xml:space="preserve">    7.技能培训室</w:t>
        <w:br/>
        <w:t xml:space="preserve">    协调对事业单位相关人员分门别类开展岗位技能培训，以梯队递增的方式推进干部能力提升，有针对性地培养人才，协调开展职业能力测试。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辽宁省盘锦市大洼区人才储备中心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盘锦市大洼区人才储备中心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266.74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266.74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266.74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增加36.27万元，增长15.74%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266.74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266.74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工资福利支出260.36万元；商品和服务支出5.98万元；对个人和家庭的补助0.40万元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增加36.27万元，增长15.74%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主要是无等原因形成的结余。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266.74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266.74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增加36.27万元，增长15.74%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111.92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111.92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2023年度一般公共预算财政拨款支出266.74万元。按支出功能分类科目分，包括：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1.一般公共服务支出190.21万元，具体包括：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（1）一般公共服务支出（类）组织事务（款）事业运行（项）190.21万元,主要是人员经费和公用经费等支出，完成年初预算的105%，决算数与年初预算数存在差异的主要原因是人员经费和公用经费增加。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2.社会保障和就业支出44.30万元，具体包括：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（1）社会保障和就业支出（类）行政事业单位养老支出（款）事业单位离退休（项）0.26万元,主要是退休人员独生子女费和取暖费等支出，完成年初预算的100%，决算数与年初预算数存在差异的主要原因是无。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33.42万元,主要是养老保险等支出，完成年初预算的129%，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（3）社会保障和就业支出（类）行政事业单位养老支出（款）机关事业单位职业年金缴费支出（项）10.28万元,主要是职业年金等支出，完成年初预算的0%，决算数与年初预算数存在差异的主要原因是无年初预算。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（4）社会保障和就业支出（类）其他社会保障和就业支出（款）其他社会保障和就业支出（项）0.34万元,主要是工伤保险等支出，完成年初预算的103%，决算数与年初预算数存在差异的主要原因是基数调整。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3.卫生健康支出11.27万元，具体包括：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（1）卫生健康支出（类）行政事业单位医疗（款）事业单位医疗（项）11.13万元,主要是医疗保险等支出，完成年初预算的98%，决算数与年初预算数存在差异的主要原因是基数调整。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（2）卫生健康支出（类）行政事业单位医疗（款）其他行政事业单位医疗支出（项）0.14万元,主要是职工大额医疗保险等支出，完成年初预算的100%，决算数与年初预算数存在差异的主要原因是无。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4.住房保障支出20.97万元，具体包括：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（1）住房保障支出（类）住房改革支出（款）住房公积金（项）20.97万元,主要是公积金等支出，完成年初预算的108%，决算数与年初预算数存在差异的主要原因是基数调整。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1.08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43.20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1.08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1.08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43.20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比上年减少0.34万元，降低23.94%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主要用于公车保险及维护费等，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266.74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260.76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5.98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0.32</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0.32</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0.32</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0.32</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预算绩效管理工作开展情况。</w:t>
        <w:br/>
        <w:t xml:space="preserve">    绩效自评情况。根据预算绩效管理要求，我部门组织对2023年度预算项目支出全面开展绩效自评，共涉及预算支出项目0个，涉及资金0万元，自评覆盖率（开展绩效自评的项目数/年初批复绩效目标的项目数）达到0%，自评平均分（开展绩效自评的项目分数总和/开展绩效自评的项目数）0分。组织对1个单位开展整体绩效自评，涉及资金238.34万元，自评平均分99.5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16.一般公共服务支出（类）组织事务（款）事业运行（项）：反映事业单位的基本支出。</w:t>
        <w:br/>
        <w:t xml:space="preserve">    17.一般公共服务支出（类）组织事务（款）一般行政管理事务（项）：反映事业单位未单独设置项级科目的其他项目支出。</w:t>
        <w:br/>
        <w:t xml:space="preserve">    18.社会保障和就业支出（类）行政事业单位离退休（款）行政单位离退休（项）：反映实行归口管理的行政单位开支的离退休经费。</w:t>
        <w:br/>
        <w:t xml:space="preserve">    19.社会保障和就业支出（类）行政事业单位养老支出（款）机关事业单位基本养老保险缴费支出（项）：反映机关事业单位实施养老保险制度由于单位缴纳的基本养老保险费用的支出</w:t>
        <w:br/>
        <w:t xml:space="preserve">    20.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21.卫生健康支出（类）行政事业单位医疗（款）其他行政事业单位医疗支出（项）：反映除上述项目以外的其他用于行政事业单位医疗方面的支出。</w:t>
        <w:br/>
        <w:t xml:space="preserve">    22.住房保障支出（类）住房改革支出（款）住房公积金（项）：反映行政事业单位按人力资源和社会保障部、财政部规定的基本工资和津贴补贴以及规定比例为职工缴纳的住房公积金。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单位：辽宁省盘锦市大洼区人才储备中心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266.74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190.21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44.30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11.26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20.97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266.74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266.74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266.74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266.74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单位：辽宁省盘锦市大洼区人才储备中心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266.74</w:t>
            </w:r>
          </w:p>
        </w:tc>
        <w:tc>
          <w:tcPr>
            <w:tcW w:w="1160" w:type="dxa"/>
            <w:tcBorders/>
            <w:vAlign w:val="center"/>
          </w:tcPr>
          <w:p>
            <w:pPr>
              <w:jc w:val="right"/>
            </w:pPr>
            <w:r>
              <w:rPr>
                <w:rFonts w:ascii="宋体" w:eastAsia="宋体" w:hAnsi="宋体" w:cs="宋体"/>
                <w:b/>
                <w:i w:val="0"/>
                <w:color w:val="000000"/>
                <w:sz w:val="14"/>
              </w:rPr>
              <w:t xml:space="preserve">266.74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190.21</w:t>
            </w:r>
          </w:p>
        </w:tc>
        <w:tc>
          <w:tcPr>
            <w:tcW w:w="1160" w:type="dxa"/>
            <w:tcBorders/>
            <w:vAlign w:val="center"/>
          </w:tcPr>
          <w:p>
            <w:pPr>
              <w:jc w:val="right"/>
            </w:pPr>
            <w:r>
              <w:rPr>
                <w:rFonts w:ascii="宋体" w:eastAsia="宋体" w:hAnsi="宋体" w:cs="宋体"/>
                <w:b w:val="0"/>
                <w:i w:val="0"/>
                <w:color w:val="000000"/>
                <w:sz w:val="14"/>
              </w:rPr>
              <w:t xml:space="preserve">190.21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190.21</w:t>
            </w:r>
          </w:p>
        </w:tc>
        <w:tc>
          <w:tcPr>
            <w:tcW w:w="1160" w:type="dxa"/>
            <w:tcBorders/>
            <w:vAlign w:val="center"/>
          </w:tcPr>
          <w:p>
            <w:pPr>
              <w:jc w:val="right"/>
            </w:pPr>
            <w:r>
              <w:rPr>
                <w:rFonts w:ascii="宋体" w:eastAsia="宋体" w:hAnsi="宋体" w:cs="宋体"/>
                <w:b w:val="0"/>
                <w:i w:val="0"/>
                <w:color w:val="000000"/>
                <w:sz w:val="14"/>
              </w:rPr>
              <w:t xml:space="preserve">190.21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190.21</w:t>
            </w:r>
          </w:p>
        </w:tc>
        <w:tc>
          <w:tcPr>
            <w:tcW w:w="1160" w:type="dxa"/>
            <w:tcBorders/>
            <w:vAlign w:val="center"/>
          </w:tcPr>
          <w:p>
            <w:pPr>
              <w:jc w:val="right"/>
            </w:pPr>
            <w:r>
              <w:rPr>
                <w:rFonts w:ascii="宋体" w:eastAsia="宋体" w:hAnsi="宋体" w:cs="宋体"/>
                <w:b w:val="0"/>
                <w:i w:val="0"/>
                <w:color w:val="000000"/>
                <w:sz w:val="14"/>
              </w:rPr>
              <w:t xml:space="preserve">190.21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44.30</w:t>
            </w:r>
          </w:p>
        </w:tc>
        <w:tc>
          <w:tcPr>
            <w:tcW w:w="1160" w:type="dxa"/>
            <w:tcBorders/>
            <w:vAlign w:val="center"/>
          </w:tcPr>
          <w:p>
            <w:pPr>
              <w:jc w:val="right"/>
            </w:pPr>
            <w:r>
              <w:rPr>
                <w:rFonts w:ascii="宋体" w:eastAsia="宋体" w:hAnsi="宋体" w:cs="宋体"/>
                <w:b w:val="0"/>
                <w:i w:val="0"/>
                <w:color w:val="000000"/>
                <w:sz w:val="14"/>
              </w:rPr>
              <w:t xml:space="preserve">44.30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43.96</w:t>
            </w:r>
          </w:p>
        </w:tc>
        <w:tc>
          <w:tcPr>
            <w:tcW w:w="1160" w:type="dxa"/>
            <w:tcBorders/>
            <w:vAlign w:val="center"/>
          </w:tcPr>
          <w:p>
            <w:pPr>
              <w:jc w:val="right"/>
            </w:pPr>
            <w:r>
              <w:rPr>
                <w:rFonts w:ascii="宋体" w:eastAsia="宋体" w:hAnsi="宋体" w:cs="宋体"/>
                <w:b w:val="0"/>
                <w:i w:val="0"/>
                <w:color w:val="000000"/>
                <w:sz w:val="14"/>
              </w:rPr>
              <w:t xml:space="preserve">43.96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33.42</w:t>
            </w:r>
          </w:p>
        </w:tc>
        <w:tc>
          <w:tcPr>
            <w:tcW w:w="1160" w:type="dxa"/>
            <w:tcBorders/>
            <w:vAlign w:val="center"/>
          </w:tcPr>
          <w:p>
            <w:pPr>
              <w:jc w:val="right"/>
            </w:pPr>
            <w:r>
              <w:rPr>
                <w:rFonts w:ascii="宋体" w:eastAsia="宋体" w:hAnsi="宋体" w:cs="宋体"/>
                <w:b w:val="0"/>
                <w:i w:val="0"/>
                <w:color w:val="000000"/>
                <w:sz w:val="14"/>
              </w:rPr>
              <w:t xml:space="preserve">33.42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10.28</w:t>
            </w:r>
          </w:p>
        </w:tc>
        <w:tc>
          <w:tcPr>
            <w:tcW w:w="1160" w:type="dxa"/>
            <w:tcBorders/>
            <w:vAlign w:val="center"/>
          </w:tcPr>
          <w:p>
            <w:pPr>
              <w:jc w:val="right"/>
            </w:pPr>
            <w:r>
              <w:rPr>
                <w:rFonts w:ascii="宋体" w:eastAsia="宋体" w:hAnsi="宋体" w:cs="宋体"/>
                <w:b w:val="0"/>
                <w:i w:val="0"/>
                <w:color w:val="000000"/>
                <w:sz w:val="14"/>
              </w:rPr>
              <w:t xml:space="preserve">10.28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11.27</w:t>
            </w:r>
          </w:p>
        </w:tc>
        <w:tc>
          <w:tcPr>
            <w:tcW w:w="1160" w:type="dxa"/>
            <w:tcBorders/>
            <w:vAlign w:val="center"/>
          </w:tcPr>
          <w:p>
            <w:pPr>
              <w:jc w:val="right"/>
            </w:pPr>
            <w:r>
              <w:rPr>
                <w:rFonts w:ascii="宋体" w:eastAsia="宋体" w:hAnsi="宋体" w:cs="宋体"/>
                <w:b w:val="0"/>
                <w:i w:val="0"/>
                <w:color w:val="000000"/>
                <w:sz w:val="14"/>
              </w:rPr>
              <w:t xml:space="preserve">11.27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11.27</w:t>
            </w:r>
          </w:p>
        </w:tc>
        <w:tc>
          <w:tcPr>
            <w:tcW w:w="1160" w:type="dxa"/>
            <w:tcBorders/>
            <w:vAlign w:val="center"/>
          </w:tcPr>
          <w:p>
            <w:pPr>
              <w:jc w:val="right"/>
            </w:pPr>
            <w:r>
              <w:rPr>
                <w:rFonts w:ascii="宋体" w:eastAsia="宋体" w:hAnsi="宋体" w:cs="宋体"/>
                <w:b w:val="0"/>
                <w:i w:val="0"/>
                <w:color w:val="000000"/>
                <w:sz w:val="14"/>
              </w:rPr>
              <w:t xml:space="preserve">11.27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11.13</w:t>
            </w:r>
          </w:p>
        </w:tc>
        <w:tc>
          <w:tcPr>
            <w:tcW w:w="1160" w:type="dxa"/>
            <w:tcBorders/>
            <w:vAlign w:val="center"/>
          </w:tcPr>
          <w:p>
            <w:pPr>
              <w:jc w:val="right"/>
            </w:pPr>
            <w:r>
              <w:rPr>
                <w:rFonts w:ascii="宋体" w:eastAsia="宋体" w:hAnsi="宋体" w:cs="宋体"/>
                <w:b w:val="0"/>
                <w:i w:val="0"/>
                <w:color w:val="000000"/>
                <w:sz w:val="14"/>
              </w:rPr>
              <w:t xml:space="preserve">11.13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20.97</w:t>
            </w:r>
          </w:p>
        </w:tc>
        <w:tc>
          <w:tcPr>
            <w:tcW w:w="1160" w:type="dxa"/>
            <w:tcBorders/>
            <w:vAlign w:val="center"/>
          </w:tcPr>
          <w:p>
            <w:pPr>
              <w:jc w:val="right"/>
            </w:pPr>
            <w:r>
              <w:rPr>
                <w:rFonts w:ascii="宋体" w:eastAsia="宋体" w:hAnsi="宋体" w:cs="宋体"/>
                <w:b w:val="0"/>
                <w:i w:val="0"/>
                <w:color w:val="000000"/>
                <w:sz w:val="14"/>
              </w:rPr>
              <w:t xml:space="preserve">20.97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20.97</w:t>
            </w:r>
          </w:p>
        </w:tc>
        <w:tc>
          <w:tcPr>
            <w:tcW w:w="1160" w:type="dxa"/>
            <w:tcBorders/>
            <w:vAlign w:val="center"/>
          </w:tcPr>
          <w:p>
            <w:pPr>
              <w:jc w:val="right"/>
            </w:pPr>
            <w:r>
              <w:rPr>
                <w:rFonts w:ascii="宋体" w:eastAsia="宋体" w:hAnsi="宋体" w:cs="宋体"/>
                <w:b w:val="0"/>
                <w:i w:val="0"/>
                <w:color w:val="000000"/>
                <w:sz w:val="14"/>
              </w:rPr>
              <w:t xml:space="preserve">20.97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20.97</w:t>
            </w:r>
          </w:p>
        </w:tc>
        <w:tc>
          <w:tcPr>
            <w:tcW w:w="1160" w:type="dxa"/>
            <w:tcBorders/>
            <w:vAlign w:val="center"/>
          </w:tcPr>
          <w:p>
            <w:pPr>
              <w:jc w:val="right"/>
            </w:pPr>
            <w:r>
              <w:rPr>
                <w:rFonts w:ascii="宋体" w:eastAsia="宋体" w:hAnsi="宋体" w:cs="宋体"/>
                <w:b w:val="0"/>
                <w:i w:val="0"/>
                <w:color w:val="000000"/>
                <w:sz w:val="14"/>
              </w:rPr>
              <w:t xml:space="preserve">20.97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单位：辽宁省盘锦市大洼区人才储备中心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266.74</w:t>
            </w:r>
          </w:p>
        </w:tc>
        <w:tc>
          <w:tcPr>
            <w:tcW w:w="1120" w:type="dxa"/>
            <w:tcBorders/>
            <w:vAlign w:val="center"/>
          </w:tcPr>
          <w:p>
            <w:pPr>
              <w:jc w:val="right"/>
            </w:pPr>
            <w:r>
              <w:rPr>
                <w:rFonts w:ascii="宋体" w:eastAsia="宋体" w:hAnsi="宋体" w:cs="宋体"/>
                <w:b/>
                <w:i w:val="0"/>
                <w:color w:val="000000"/>
                <w:sz w:val="16"/>
              </w:rPr>
              <w:t xml:space="preserve">266.74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190.21</w:t>
            </w:r>
          </w:p>
        </w:tc>
        <w:tc>
          <w:tcPr>
            <w:tcW w:w="1120" w:type="dxa"/>
            <w:tcBorders/>
            <w:vAlign w:val="center"/>
          </w:tcPr>
          <w:p>
            <w:pPr>
              <w:jc w:val="right"/>
            </w:pPr>
            <w:r>
              <w:rPr>
                <w:rFonts w:ascii="宋体" w:eastAsia="宋体" w:hAnsi="宋体" w:cs="宋体"/>
                <w:b w:val="0"/>
                <w:i w:val="0"/>
                <w:color w:val="000000"/>
                <w:sz w:val="16"/>
              </w:rPr>
              <w:t xml:space="preserve">190.21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190.21</w:t>
            </w:r>
          </w:p>
        </w:tc>
        <w:tc>
          <w:tcPr>
            <w:tcW w:w="1120" w:type="dxa"/>
            <w:tcBorders/>
            <w:vAlign w:val="center"/>
          </w:tcPr>
          <w:p>
            <w:pPr>
              <w:jc w:val="right"/>
            </w:pPr>
            <w:r>
              <w:rPr>
                <w:rFonts w:ascii="宋体" w:eastAsia="宋体" w:hAnsi="宋体" w:cs="宋体"/>
                <w:b w:val="0"/>
                <w:i w:val="0"/>
                <w:color w:val="000000"/>
                <w:sz w:val="16"/>
              </w:rPr>
              <w:t xml:space="preserve">190.21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190.21</w:t>
            </w:r>
          </w:p>
        </w:tc>
        <w:tc>
          <w:tcPr>
            <w:tcW w:w="1120" w:type="dxa"/>
            <w:tcBorders/>
            <w:vAlign w:val="center"/>
          </w:tcPr>
          <w:p>
            <w:pPr>
              <w:jc w:val="right"/>
            </w:pPr>
            <w:r>
              <w:rPr>
                <w:rFonts w:ascii="宋体" w:eastAsia="宋体" w:hAnsi="宋体" w:cs="宋体"/>
                <w:b w:val="0"/>
                <w:i w:val="0"/>
                <w:color w:val="000000"/>
                <w:sz w:val="16"/>
              </w:rPr>
              <w:t xml:space="preserve">190.21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44.30</w:t>
            </w:r>
          </w:p>
        </w:tc>
        <w:tc>
          <w:tcPr>
            <w:tcW w:w="1120" w:type="dxa"/>
            <w:tcBorders/>
            <w:vAlign w:val="center"/>
          </w:tcPr>
          <w:p>
            <w:pPr>
              <w:jc w:val="right"/>
            </w:pPr>
            <w:r>
              <w:rPr>
                <w:rFonts w:ascii="宋体" w:eastAsia="宋体" w:hAnsi="宋体" w:cs="宋体"/>
                <w:b w:val="0"/>
                <w:i w:val="0"/>
                <w:color w:val="000000"/>
                <w:sz w:val="16"/>
              </w:rPr>
              <w:t xml:space="preserve">44.30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43.96</w:t>
            </w:r>
          </w:p>
        </w:tc>
        <w:tc>
          <w:tcPr>
            <w:tcW w:w="1120" w:type="dxa"/>
            <w:tcBorders/>
            <w:vAlign w:val="center"/>
          </w:tcPr>
          <w:p>
            <w:pPr>
              <w:jc w:val="right"/>
            </w:pPr>
            <w:r>
              <w:rPr>
                <w:rFonts w:ascii="宋体" w:eastAsia="宋体" w:hAnsi="宋体" w:cs="宋体"/>
                <w:b w:val="0"/>
                <w:i w:val="0"/>
                <w:color w:val="000000"/>
                <w:sz w:val="16"/>
              </w:rPr>
              <w:t xml:space="preserve">43.96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33.42</w:t>
            </w:r>
          </w:p>
        </w:tc>
        <w:tc>
          <w:tcPr>
            <w:tcW w:w="1120" w:type="dxa"/>
            <w:tcBorders/>
            <w:vAlign w:val="center"/>
          </w:tcPr>
          <w:p>
            <w:pPr>
              <w:jc w:val="right"/>
            </w:pPr>
            <w:r>
              <w:rPr>
                <w:rFonts w:ascii="宋体" w:eastAsia="宋体" w:hAnsi="宋体" w:cs="宋体"/>
                <w:b w:val="0"/>
                <w:i w:val="0"/>
                <w:color w:val="000000"/>
                <w:sz w:val="16"/>
              </w:rPr>
              <w:t xml:space="preserve">33.42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10.28</w:t>
            </w:r>
          </w:p>
        </w:tc>
        <w:tc>
          <w:tcPr>
            <w:tcW w:w="1120" w:type="dxa"/>
            <w:tcBorders/>
            <w:vAlign w:val="center"/>
          </w:tcPr>
          <w:p>
            <w:pPr>
              <w:jc w:val="right"/>
            </w:pPr>
            <w:r>
              <w:rPr>
                <w:rFonts w:ascii="宋体" w:eastAsia="宋体" w:hAnsi="宋体" w:cs="宋体"/>
                <w:b w:val="0"/>
                <w:i w:val="0"/>
                <w:color w:val="000000"/>
                <w:sz w:val="16"/>
              </w:rPr>
              <w:t xml:space="preserve">10.28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11.27</w:t>
            </w:r>
          </w:p>
        </w:tc>
        <w:tc>
          <w:tcPr>
            <w:tcW w:w="1120" w:type="dxa"/>
            <w:tcBorders/>
            <w:vAlign w:val="center"/>
          </w:tcPr>
          <w:p>
            <w:pPr>
              <w:jc w:val="right"/>
            </w:pPr>
            <w:r>
              <w:rPr>
                <w:rFonts w:ascii="宋体" w:eastAsia="宋体" w:hAnsi="宋体" w:cs="宋体"/>
                <w:b w:val="0"/>
                <w:i w:val="0"/>
                <w:color w:val="000000"/>
                <w:sz w:val="16"/>
              </w:rPr>
              <w:t xml:space="preserve">11.27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11.27</w:t>
            </w:r>
          </w:p>
        </w:tc>
        <w:tc>
          <w:tcPr>
            <w:tcW w:w="1120" w:type="dxa"/>
            <w:tcBorders/>
            <w:vAlign w:val="center"/>
          </w:tcPr>
          <w:p>
            <w:pPr>
              <w:jc w:val="right"/>
            </w:pPr>
            <w:r>
              <w:rPr>
                <w:rFonts w:ascii="宋体" w:eastAsia="宋体" w:hAnsi="宋体" w:cs="宋体"/>
                <w:b w:val="0"/>
                <w:i w:val="0"/>
                <w:color w:val="000000"/>
                <w:sz w:val="16"/>
              </w:rPr>
              <w:t xml:space="preserve">11.27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11.13</w:t>
            </w:r>
          </w:p>
        </w:tc>
        <w:tc>
          <w:tcPr>
            <w:tcW w:w="1120" w:type="dxa"/>
            <w:tcBorders/>
            <w:vAlign w:val="center"/>
          </w:tcPr>
          <w:p>
            <w:pPr>
              <w:jc w:val="right"/>
            </w:pPr>
            <w:r>
              <w:rPr>
                <w:rFonts w:ascii="宋体" w:eastAsia="宋体" w:hAnsi="宋体" w:cs="宋体"/>
                <w:b w:val="0"/>
                <w:i w:val="0"/>
                <w:color w:val="000000"/>
                <w:sz w:val="16"/>
              </w:rPr>
              <w:t xml:space="preserve">11.13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20.97</w:t>
            </w:r>
          </w:p>
        </w:tc>
        <w:tc>
          <w:tcPr>
            <w:tcW w:w="1120" w:type="dxa"/>
            <w:tcBorders/>
            <w:vAlign w:val="center"/>
          </w:tcPr>
          <w:p>
            <w:pPr>
              <w:jc w:val="right"/>
            </w:pPr>
            <w:r>
              <w:rPr>
                <w:rFonts w:ascii="宋体" w:eastAsia="宋体" w:hAnsi="宋体" w:cs="宋体"/>
                <w:b w:val="0"/>
                <w:i w:val="0"/>
                <w:color w:val="000000"/>
                <w:sz w:val="16"/>
              </w:rPr>
              <w:t xml:space="preserve">20.97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20.97</w:t>
            </w:r>
          </w:p>
        </w:tc>
        <w:tc>
          <w:tcPr>
            <w:tcW w:w="1120" w:type="dxa"/>
            <w:tcBorders/>
            <w:vAlign w:val="center"/>
          </w:tcPr>
          <w:p>
            <w:pPr>
              <w:jc w:val="right"/>
            </w:pPr>
            <w:r>
              <w:rPr>
                <w:rFonts w:ascii="宋体" w:eastAsia="宋体" w:hAnsi="宋体" w:cs="宋体"/>
                <w:b w:val="0"/>
                <w:i w:val="0"/>
                <w:color w:val="000000"/>
                <w:sz w:val="16"/>
              </w:rPr>
              <w:t xml:space="preserve">20.97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20.97</w:t>
            </w:r>
          </w:p>
        </w:tc>
        <w:tc>
          <w:tcPr>
            <w:tcW w:w="1120" w:type="dxa"/>
            <w:tcBorders/>
            <w:vAlign w:val="center"/>
          </w:tcPr>
          <w:p>
            <w:pPr>
              <w:jc w:val="right"/>
            </w:pPr>
            <w:r>
              <w:rPr>
                <w:rFonts w:ascii="宋体" w:eastAsia="宋体" w:hAnsi="宋体" w:cs="宋体"/>
                <w:b w:val="0"/>
                <w:i w:val="0"/>
                <w:color w:val="000000"/>
                <w:sz w:val="16"/>
              </w:rPr>
              <w:t xml:space="preserve">20.97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单位：辽宁省盘锦市大洼区人才储备中心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266.74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190.21</w:t>
            </w:r>
          </w:p>
        </w:tc>
        <w:tc>
          <w:tcPr>
            <w:tcW w:w="1100" w:type="dxa"/>
            <w:tcBorders/>
            <w:vAlign w:val="center"/>
          </w:tcPr>
          <w:p>
            <w:pPr>
              <w:jc w:val="right"/>
            </w:pPr>
            <w:r>
              <w:rPr>
                <w:rFonts w:ascii="宋体" w:eastAsia="宋体" w:hAnsi="宋体" w:cs="宋体"/>
                <w:b w:val="0"/>
                <w:i w:val="0"/>
                <w:color w:val="000000"/>
                <w:sz w:val="14"/>
              </w:rPr>
              <w:t xml:space="preserve">190.21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44.30</w:t>
            </w:r>
          </w:p>
        </w:tc>
        <w:tc>
          <w:tcPr>
            <w:tcW w:w="1100" w:type="dxa"/>
            <w:tcBorders/>
            <w:vAlign w:val="center"/>
          </w:tcPr>
          <w:p>
            <w:pPr>
              <w:jc w:val="right"/>
            </w:pPr>
            <w:r>
              <w:rPr>
                <w:rFonts w:ascii="宋体" w:eastAsia="宋体" w:hAnsi="宋体" w:cs="宋体"/>
                <w:b w:val="0"/>
                <w:i w:val="0"/>
                <w:color w:val="000000"/>
                <w:sz w:val="14"/>
              </w:rPr>
              <w:t xml:space="preserve">44.30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11.26</w:t>
            </w:r>
          </w:p>
        </w:tc>
        <w:tc>
          <w:tcPr>
            <w:tcW w:w="1100" w:type="dxa"/>
            <w:tcBorders/>
            <w:vAlign w:val="center"/>
          </w:tcPr>
          <w:p>
            <w:pPr>
              <w:jc w:val="right"/>
            </w:pPr>
            <w:r>
              <w:rPr>
                <w:rFonts w:ascii="宋体" w:eastAsia="宋体" w:hAnsi="宋体" w:cs="宋体"/>
                <w:b w:val="0"/>
                <w:i w:val="0"/>
                <w:color w:val="000000"/>
                <w:sz w:val="14"/>
              </w:rPr>
              <w:t xml:space="preserve">11.26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20.97</w:t>
            </w:r>
          </w:p>
        </w:tc>
        <w:tc>
          <w:tcPr>
            <w:tcW w:w="1100" w:type="dxa"/>
            <w:tcBorders/>
            <w:vAlign w:val="center"/>
          </w:tcPr>
          <w:p>
            <w:pPr>
              <w:jc w:val="right"/>
            </w:pPr>
            <w:r>
              <w:rPr>
                <w:rFonts w:ascii="宋体" w:eastAsia="宋体" w:hAnsi="宋体" w:cs="宋体"/>
                <w:b w:val="0"/>
                <w:i w:val="0"/>
                <w:color w:val="000000"/>
                <w:sz w:val="14"/>
              </w:rPr>
              <w:t xml:space="preserve">20.97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266.74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266.74</w:t>
            </w:r>
          </w:p>
        </w:tc>
        <w:tc>
          <w:tcPr>
            <w:tcW w:w="1100" w:type="dxa"/>
            <w:tcBorders/>
            <w:vAlign w:val="center"/>
          </w:tcPr>
          <w:p>
            <w:pPr>
              <w:jc w:val="right"/>
            </w:pPr>
            <w:r>
              <w:rPr>
                <w:rFonts w:ascii="宋体" w:eastAsia="宋体" w:hAnsi="宋体" w:cs="宋体"/>
                <w:b w:val="0"/>
                <w:i w:val="0"/>
                <w:color w:val="000000"/>
                <w:sz w:val="14"/>
              </w:rPr>
              <w:t xml:space="preserve">266.74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266.74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266.74</w:t>
            </w:r>
          </w:p>
        </w:tc>
        <w:tc>
          <w:tcPr>
            <w:tcW w:w="1100" w:type="dxa"/>
            <w:tcBorders/>
            <w:vAlign w:val="center"/>
          </w:tcPr>
          <w:p>
            <w:pPr>
              <w:jc w:val="right"/>
            </w:pPr>
            <w:r>
              <w:rPr>
                <w:rFonts w:ascii="宋体" w:eastAsia="宋体" w:hAnsi="宋体" w:cs="宋体"/>
                <w:b w:val="0"/>
                <w:i w:val="0"/>
                <w:color w:val="000000"/>
                <w:sz w:val="14"/>
              </w:rPr>
              <w:t xml:space="preserve">266.74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单位：辽宁省盘锦市大洼区人才储备中心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266.74</w:t>
            </w:r>
          </w:p>
        </w:tc>
        <w:tc>
          <w:tcPr>
            <w:tcW w:w="1980" w:type="dxa"/>
            <w:tcBorders/>
            <w:vAlign w:val="center"/>
          </w:tcPr>
          <w:p>
            <w:pPr>
              <w:jc w:val="right"/>
            </w:pPr>
            <w:r>
              <w:rPr>
                <w:rFonts w:ascii="宋体" w:eastAsia="宋体" w:hAnsi="宋体" w:cs="宋体"/>
                <w:b/>
                <w:i w:val="0"/>
                <w:color w:val="000000"/>
                <w:sz w:val="20"/>
              </w:rPr>
              <w:t xml:space="preserve">266.74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190.21</w:t>
            </w:r>
          </w:p>
        </w:tc>
        <w:tc>
          <w:tcPr>
            <w:tcW w:w="1980" w:type="dxa"/>
            <w:tcBorders/>
            <w:vAlign w:val="center"/>
          </w:tcPr>
          <w:p>
            <w:pPr>
              <w:jc w:val="right"/>
            </w:pPr>
            <w:r>
              <w:rPr>
                <w:rFonts w:ascii="宋体" w:eastAsia="宋体" w:hAnsi="宋体" w:cs="宋体"/>
                <w:b w:val="0"/>
                <w:i w:val="0"/>
                <w:color w:val="000000"/>
                <w:sz w:val="20"/>
              </w:rPr>
              <w:t xml:space="preserve">190.21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190.21</w:t>
            </w:r>
          </w:p>
        </w:tc>
        <w:tc>
          <w:tcPr>
            <w:tcW w:w="1980" w:type="dxa"/>
            <w:tcBorders/>
            <w:vAlign w:val="center"/>
          </w:tcPr>
          <w:p>
            <w:pPr>
              <w:jc w:val="right"/>
            </w:pPr>
            <w:r>
              <w:rPr>
                <w:rFonts w:ascii="宋体" w:eastAsia="宋体" w:hAnsi="宋体" w:cs="宋体"/>
                <w:b w:val="0"/>
                <w:i w:val="0"/>
                <w:color w:val="000000"/>
                <w:sz w:val="20"/>
              </w:rPr>
              <w:t xml:space="preserve">190.21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190.21</w:t>
            </w:r>
          </w:p>
        </w:tc>
        <w:tc>
          <w:tcPr>
            <w:tcW w:w="1980" w:type="dxa"/>
            <w:tcBorders/>
            <w:vAlign w:val="center"/>
          </w:tcPr>
          <w:p>
            <w:pPr>
              <w:jc w:val="right"/>
            </w:pPr>
            <w:r>
              <w:rPr>
                <w:rFonts w:ascii="宋体" w:eastAsia="宋体" w:hAnsi="宋体" w:cs="宋体"/>
                <w:b w:val="0"/>
                <w:i w:val="0"/>
                <w:color w:val="000000"/>
                <w:sz w:val="20"/>
              </w:rPr>
              <w:t xml:space="preserve">190.21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44.30</w:t>
            </w:r>
          </w:p>
        </w:tc>
        <w:tc>
          <w:tcPr>
            <w:tcW w:w="1980" w:type="dxa"/>
            <w:tcBorders/>
            <w:vAlign w:val="center"/>
          </w:tcPr>
          <w:p>
            <w:pPr>
              <w:jc w:val="right"/>
            </w:pPr>
            <w:r>
              <w:rPr>
                <w:rFonts w:ascii="宋体" w:eastAsia="宋体" w:hAnsi="宋体" w:cs="宋体"/>
                <w:b w:val="0"/>
                <w:i w:val="0"/>
                <w:color w:val="000000"/>
                <w:sz w:val="20"/>
              </w:rPr>
              <w:t xml:space="preserve">44.30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43.96</w:t>
            </w:r>
          </w:p>
        </w:tc>
        <w:tc>
          <w:tcPr>
            <w:tcW w:w="1980" w:type="dxa"/>
            <w:tcBorders/>
            <w:vAlign w:val="center"/>
          </w:tcPr>
          <w:p>
            <w:pPr>
              <w:jc w:val="right"/>
            </w:pPr>
            <w:r>
              <w:rPr>
                <w:rFonts w:ascii="宋体" w:eastAsia="宋体" w:hAnsi="宋体" w:cs="宋体"/>
                <w:b w:val="0"/>
                <w:i w:val="0"/>
                <w:color w:val="000000"/>
                <w:sz w:val="20"/>
              </w:rPr>
              <w:t xml:space="preserve">43.96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33.42</w:t>
            </w:r>
          </w:p>
        </w:tc>
        <w:tc>
          <w:tcPr>
            <w:tcW w:w="1980" w:type="dxa"/>
            <w:tcBorders/>
            <w:vAlign w:val="center"/>
          </w:tcPr>
          <w:p>
            <w:pPr>
              <w:jc w:val="right"/>
            </w:pPr>
            <w:r>
              <w:rPr>
                <w:rFonts w:ascii="宋体" w:eastAsia="宋体" w:hAnsi="宋体" w:cs="宋体"/>
                <w:b w:val="0"/>
                <w:i w:val="0"/>
                <w:color w:val="000000"/>
                <w:sz w:val="20"/>
              </w:rPr>
              <w:t xml:space="preserve">33.42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10.28</w:t>
            </w:r>
          </w:p>
        </w:tc>
        <w:tc>
          <w:tcPr>
            <w:tcW w:w="1980" w:type="dxa"/>
            <w:tcBorders/>
            <w:vAlign w:val="center"/>
          </w:tcPr>
          <w:p>
            <w:pPr>
              <w:jc w:val="right"/>
            </w:pPr>
            <w:r>
              <w:rPr>
                <w:rFonts w:ascii="宋体" w:eastAsia="宋体" w:hAnsi="宋体" w:cs="宋体"/>
                <w:b w:val="0"/>
                <w:i w:val="0"/>
                <w:color w:val="000000"/>
                <w:sz w:val="20"/>
              </w:rPr>
              <w:t xml:space="preserve">10.28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11.27</w:t>
            </w:r>
          </w:p>
        </w:tc>
        <w:tc>
          <w:tcPr>
            <w:tcW w:w="1980" w:type="dxa"/>
            <w:tcBorders/>
            <w:vAlign w:val="center"/>
          </w:tcPr>
          <w:p>
            <w:pPr>
              <w:jc w:val="right"/>
            </w:pPr>
            <w:r>
              <w:rPr>
                <w:rFonts w:ascii="宋体" w:eastAsia="宋体" w:hAnsi="宋体" w:cs="宋体"/>
                <w:b w:val="0"/>
                <w:i w:val="0"/>
                <w:color w:val="000000"/>
                <w:sz w:val="20"/>
              </w:rPr>
              <w:t xml:space="preserve">11.27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11.27</w:t>
            </w:r>
          </w:p>
        </w:tc>
        <w:tc>
          <w:tcPr>
            <w:tcW w:w="1980" w:type="dxa"/>
            <w:tcBorders/>
            <w:vAlign w:val="center"/>
          </w:tcPr>
          <w:p>
            <w:pPr>
              <w:jc w:val="right"/>
            </w:pPr>
            <w:r>
              <w:rPr>
                <w:rFonts w:ascii="宋体" w:eastAsia="宋体" w:hAnsi="宋体" w:cs="宋体"/>
                <w:b w:val="0"/>
                <w:i w:val="0"/>
                <w:color w:val="000000"/>
                <w:sz w:val="20"/>
              </w:rPr>
              <w:t xml:space="preserve">11.27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11.13</w:t>
            </w:r>
          </w:p>
        </w:tc>
        <w:tc>
          <w:tcPr>
            <w:tcW w:w="1980" w:type="dxa"/>
            <w:tcBorders/>
            <w:vAlign w:val="center"/>
          </w:tcPr>
          <w:p>
            <w:pPr>
              <w:jc w:val="right"/>
            </w:pPr>
            <w:r>
              <w:rPr>
                <w:rFonts w:ascii="宋体" w:eastAsia="宋体" w:hAnsi="宋体" w:cs="宋体"/>
                <w:b w:val="0"/>
                <w:i w:val="0"/>
                <w:color w:val="000000"/>
                <w:sz w:val="20"/>
              </w:rPr>
              <w:t xml:space="preserve">11.13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20.97</w:t>
            </w:r>
          </w:p>
        </w:tc>
        <w:tc>
          <w:tcPr>
            <w:tcW w:w="1980" w:type="dxa"/>
            <w:tcBorders/>
            <w:vAlign w:val="center"/>
          </w:tcPr>
          <w:p>
            <w:pPr>
              <w:jc w:val="right"/>
            </w:pPr>
            <w:r>
              <w:rPr>
                <w:rFonts w:ascii="宋体" w:eastAsia="宋体" w:hAnsi="宋体" w:cs="宋体"/>
                <w:b w:val="0"/>
                <w:i w:val="0"/>
                <w:color w:val="000000"/>
                <w:sz w:val="20"/>
              </w:rPr>
              <w:t xml:space="preserve">20.97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20.97</w:t>
            </w:r>
          </w:p>
        </w:tc>
        <w:tc>
          <w:tcPr>
            <w:tcW w:w="1980" w:type="dxa"/>
            <w:tcBorders/>
            <w:vAlign w:val="center"/>
          </w:tcPr>
          <w:p>
            <w:pPr>
              <w:jc w:val="right"/>
            </w:pPr>
            <w:r>
              <w:rPr>
                <w:rFonts w:ascii="宋体" w:eastAsia="宋体" w:hAnsi="宋体" w:cs="宋体"/>
                <w:b w:val="0"/>
                <w:i w:val="0"/>
                <w:color w:val="000000"/>
                <w:sz w:val="20"/>
              </w:rPr>
              <w:t xml:space="preserve">20.97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20.97</w:t>
            </w:r>
          </w:p>
        </w:tc>
        <w:tc>
          <w:tcPr>
            <w:tcW w:w="1980" w:type="dxa"/>
            <w:tcBorders/>
            <w:vAlign w:val="center"/>
          </w:tcPr>
          <w:p>
            <w:pPr>
              <w:jc w:val="right"/>
            </w:pPr>
            <w:r>
              <w:rPr>
                <w:rFonts w:ascii="宋体" w:eastAsia="宋体" w:hAnsi="宋体" w:cs="宋体"/>
                <w:b w:val="0"/>
                <w:i w:val="0"/>
                <w:color w:val="000000"/>
                <w:sz w:val="20"/>
              </w:rPr>
              <w:t xml:space="preserve">20.97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单位：辽宁省盘锦市大洼区人才储备中心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260.36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5.98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99.60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4.58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60.07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24.42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33.42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10.28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11.13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20.97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260.76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5.98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单位：辽宁省盘锦市大洼区人才储备中心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1.08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1.08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1.08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单位：辽宁省盘锦市大洼区人才储备中心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单位：辽宁省盘锦市大洼区人才储备中心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014002盘锦市大洼区人才储备中心-211104000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6.36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218.95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12.9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完成全年工作任务，保障单位运行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客户满意度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信访群众投诉满意率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