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辽宁省盘锦市大洼区纪委监委综合保障中心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辽宁省盘锦市大洼区纪委监委综合保障中心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辽宁省盘锦市大洼区纪委监委综合保障中心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辽宁省盘锦市大洼区纪委监委综合保障中心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辽宁省盘锦市大洼区纪委监委综合保障中心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辽宁省盘锦市大洼区纪委监委综合保障中心概况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全区纪委监委履行纪检监察职能提供办案、后勤和网络信息技术等保障工作；负责区纪委监委留置基地等办案场所管理、保障工作；负责区纪委监委网络检举举报平台建设、运行、维护等工作；负责全区纪检监察系统机密级信息网络建设及涉密信息系统的运行、维护和信息安全保密工作；负责区纪委、监委的案件、信访、档案管理等工作的信息化建设；负责网络信息的收集、分类、整理录入发布工作，及时掌握纪检监察网络舆情；负责全区反腐倡廉教育工作；制作反腐倡廉音像教育材料；负责全区纪检监察系统干部培训工作；承担区纪委监委其他服务保障性工作。　　　　</w:t>
        <w:br/>
        <w:t xml:space="preserve">    根据本部门主要职责，内设机构如下：</w:t>
        <w:br/>
        <w:t xml:space="preserve">    盘锦市大洼区纪委监委综合保障中心现有内设股室1个：综合办公室。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辽宁省盘锦市大洼区纪委监委综合保障中心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盘锦市大洼区纪委监委综合保障中心本级。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189.11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增加57.12万元，增长43.27%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189.11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工资福利支出181.98万元；商品和服务支出7.06万元；对个人和家庭的补助0.07万元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增加57.12万元，增长43.27%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增加57.12万元，增长43.27%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143.03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143.03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2023年度一般公共预算财政拨款支出189.11万元。按支出功能分类科目分，包括：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1.一般公共服务支出144.04万元，具体包括：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（1）一般公共服务支出（类）纪检监察事务（款）事业运行（项）144.04万元,主要是基本工资、津贴补贴、绩效等支出，完成年初预算的143.68%，决算数与年初预算数存在差异的主要原因是人员增加。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2.社会保障和就业支出20.99万元，具体包括：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20.75万元,主要是养老保险等支出，完成年初预算的142.98%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（2）社会保障和就业支出（类）其他社会保障和就业支出（款）其他社会保障和就业支出（项）0.24万元,主要是工伤保险等支出，完成年初预算的142.98%，决算数与年初预算数存在差异的主要原因是人员增加。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（1）卫生健康支出（类）行政事业单位医疗（款）事业单位医疗（项）8.35万元,主要是医疗保险等支出，完成年初预算的131.3%，决算数与年初预算数存在差异的主要原因是人员增加。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（2）卫生健康支出（类）行政事业单位医疗（款）其他行政事业单位医疗支出（项）0.08万元,主要是托儿费等支出，完成年初预算的100%，决算数与年初预算数存在差异的主要原因是无差异。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（1）住房保障支出（类）住房改革支出（款）住房公积金（项）15.66万元,主要是公积金等支出，完成年初预算的144.07%，决算数与年初预算数存在差异的主要原因是人员增加。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189.11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182.05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7.06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根据预算绩效管理要求，我部门组织对1个单位开展整体绩效自评，涉及资金132.22万元，自评平均分98.20。</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189.11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144.04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21.00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189.11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189.11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189.11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189.11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189.11</w:t>
            </w:r>
          </w:p>
        </w:tc>
        <w:tc>
          <w:tcPr>
            <w:tcW w:w="1160" w:type="dxa"/>
            <w:tcBorders/>
            <w:vAlign w:val="center"/>
          </w:tcPr>
          <w:p>
            <w:pPr>
              <w:jc w:val="right"/>
            </w:pPr>
            <w:r>
              <w:rPr>
                <w:rFonts w:ascii="宋体" w:eastAsia="宋体" w:hAnsi="宋体" w:cs="宋体"/>
                <w:b/>
                <w:i w:val="0"/>
                <w:color w:val="000000"/>
                <w:sz w:val="14"/>
              </w:rPr>
              <w:t xml:space="preserve">189.11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jc w:val="right"/>
            </w:pPr>
            <w:r>
              <w:rPr>
                <w:rFonts w:ascii="宋体" w:eastAsia="宋体" w:hAnsi="宋体" w:cs="宋体"/>
                <w:b w:val="0"/>
                <w:i w:val="0"/>
                <w:color w:val="000000"/>
                <w:sz w:val="14"/>
              </w:rPr>
              <w:t xml:space="preserve">144.04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20.99</w:t>
            </w:r>
          </w:p>
        </w:tc>
        <w:tc>
          <w:tcPr>
            <w:tcW w:w="1160" w:type="dxa"/>
            <w:tcBorders/>
            <w:vAlign w:val="center"/>
          </w:tcPr>
          <w:p>
            <w:pPr>
              <w:jc w:val="right"/>
            </w:pPr>
            <w:r>
              <w:rPr>
                <w:rFonts w:ascii="宋体" w:eastAsia="宋体" w:hAnsi="宋体" w:cs="宋体"/>
                <w:b w:val="0"/>
                <w:i w:val="0"/>
                <w:color w:val="000000"/>
                <w:sz w:val="14"/>
              </w:rPr>
              <w:t xml:space="preserve">20.99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20.75</w:t>
            </w:r>
          </w:p>
        </w:tc>
        <w:tc>
          <w:tcPr>
            <w:tcW w:w="1160" w:type="dxa"/>
            <w:tcBorders/>
            <w:vAlign w:val="center"/>
          </w:tcPr>
          <w:p>
            <w:pPr>
              <w:jc w:val="right"/>
            </w:pPr>
            <w:r>
              <w:rPr>
                <w:rFonts w:ascii="宋体" w:eastAsia="宋体" w:hAnsi="宋体" w:cs="宋体"/>
                <w:b w:val="0"/>
                <w:i w:val="0"/>
                <w:color w:val="000000"/>
                <w:sz w:val="14"/>
              </w:rPr>
              <w:t xml:space="preserve">20.75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20.75</w:t>
            </w:r>
          </w:p>
        </w:tc>
        <w:tc>
          <w:tcPr>
            <w:tcW w:w="1160" w:type="dxa"/>
            <w:tcBorders/>
            <w:vAlign w:val="center"/>
          </w:tcPr>
          <w:p>
            <w:pPr>
              <w:jc w:val="right"/>
            </w:pPr>
            <w:r>
              <w:rPr>
                <w:rFonts w:ascii="宋体" w:eastAsia="宋体" w:hAnsi="宋体" w:cs="宋体"/>
                <w:b w:val="0"/>
                <w:i w:val="0"/>
                <w:color w:val="000000"/>
                <w:sz w:val="14"/>
              </w:rPr>
              <w:t xml:space="preserve">20.75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jc w:val="right"/>
            </w:pPr>
            <w:r>
              <w:rPr>
                <w:rFonts w:ascii="宋体" w:eastAsia="宋体" w:hAnsi="宋体" w:cs="宋体"/>
                <w:b w:val="0"/>
                <w:i w:val="0"/>
                <w:color w:val="000000"/>
                <w:sz w:val="14"/>
              </w:rPr>
              <w:t xml:space="preserve">8.43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jc w:val="right"/>
            </w:pPr>
            <w:r>
              <w:rPr>
                <w:rFonts w:ascii="宋体" w:eastAsia="宋体" w:hAnsi="宋体" w:cs="宋体"/>
                <w:b w:val="0"/>
                <w:i w:val="0"/>
                <w:color w:val="000000"/>
                <w:sz w:val="14"/>
              </w:rPr>
              <w:t xml:space="preserve">0.08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jc w:val="right"/>
            </w:pPr>
            <w:r>
              <w:rPr>
                <w:rFonts w:ascii="宋体" w:eastAsia="宋体" w:hAnsi="宋体" w:cs="宋体"/>
                <w:b w:val="0"/>
                <w:i w:val="0"/>
                <w:color w:val="000000"/>
                <w:sz w:val="14"/>
              </w:rPr>
              <w:t xml:space="preserve">15.66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189.11</w:t>
            </w:r>
          </w:p>
        </w:tc>
        <w:tc>
          <w:tcPr>
            <w:tcW w:w="1120" w:type="dxa"/>
            <w:tcBorders/>
            <w:vAlign w:val="center"/>
          </w:tcPr>
          <w:p>
            <w:pPr>
              <w:jc w:val="right"/>
            </w:pPr>
            <w:r>
              <w:rPr>
                <w:rFonts w:ascii="宋体" w:eastAsia="宋体" w:hAnsi="宋体" w:cs="宋体"/>
                <w:b/>
                <w:i w:val="0"/>
                <w:color w:val="000000"/>
                <w:sz w:val="16"/>
              </w:rPr>
              <w:t xml:space="preserve">189.11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jc w:val="right"/>
            </w:pPr>
            <w:r>
              <w:rPr>
                <w:rFonts w:ascii="宋体" w:eastAsia="宋体" w:hAnsi="宋体" w:cs="宋体"/>
                <w:b w:val="0"/>
                <w:i w:val="0"/>
                <w:color w:val="000000"/>
                <w:sz w:val="16"/>
              </w:rPr>
              <w:t xml:space="preserve">144.04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20.99</w:t>
            </w:r>
          </w:p>
        </w:tc>
        <w:tc>
          <w:tcPr>
            <w:tcW w:w="1120" w:type="dxa"/>
            <w:tcBorders/>
            <w:vAlign w:val="center"/>
          </w:tcPr>
          <w:p>
            <w:pPr>
              <w:jc w:val="right"/>
            </w:pPr>
            <w:r>
              <w:rPr>
                <w:rFonts w:ascii="宋体" w:eastAsia="宋体" w:hAnsi="宋体" w:cs="宋体"/>
                <w:b w:val="0"/>
                <w:i w:val="0"/>
                <w:color w:val="000000"/>
                <w:sz w:val="16"/>
              </w:rPr>
              <w:t xml:space="preserve">20.99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jc w:val="right"/>
            </w:pPr>
            <w:r>
              <w:rPr>
                <w:rFonts w:ascii="宋体" w:eastAsia="宋体" w:hAnsi="宋体" w:cs="宋体"/>
                <w:b w:val="0"/>
                <w:i w:val="0"/>
                <w:color w:val="000000"/>
                <w:sz w:val="16"/>
              </w:rPr>
              <w:t xml:space="preserve">20.75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jc w:val="right"/>
            </w:pPr>
            <w:r>
              <w:rPr>
                <w:rFonts w:ascii="宋体" w:eastAsia="宋体" w:hAnsi="宋体" w:cs="宋体"/>
                <w:b w:val="0"/>
                <w:i w:val="0"/>
                <w:color w:val="000000"/>
                <w:sz w:val="16"/>
              </w:rPr>
              <w:t xml:space="preserve">8.43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jc w:val="right"/>
            </w:pPr>
            <w:r>
              <w:rPr>
                <w:rFonts w:ascii="宋体" w:eastAsia="宋体" w:hAnsi="宋体" w:cs="宋体"/>
                <w:b w:val="0"/>
                <w:i w:val="0"/>
                <w:color w:val="000000"/>
                <w:sz w:val="16"/>
              </w:rPr>
              <w:t xml:space="preserve">0.08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jc w:val="right"/>
            </w:pPr>
            <w:r>
              <w:rPr>
                <w:rFonts w:ascii="宋体" w:eastAsia="宋体" w:hAnsi="宋体" w:cs="宋体"/>
                <w:b w:val="0"/>
                <w:i w:val="0"/>
                <w:color w:val="000000"/>
                <w:sz w:val="16"/>
              </w:rPr>
              <w:t xml:space="preserve">15.66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144.04</w:t>
            </w:r>
          </w:p>
        </w:tc>
        <w:tc>
          <w:tcPr>
            <w:tcW w:w="1100" w:type="dxa"/>
            <w:tcBorders/>
            <w:vAlign w:val="center"/>
          </w:tcPr>
          <w:p>
            <w:pPr>
              <w:jc w:val="right"/>
            </w:pPr>
            <w:r>
              <w:rPr>
                <w:rFonts w:ascii="宋体" w:eastAsia="宋体" w:hAnsi="宋体" w:cs="宋体"/>
                <w:b w:val="0"/>
                <w:i w:val="0"/>
                <w:color w:val="000000"/>
                <w:sz w:val="14"/>
              </w:rPr>
              <w:t xml:space="preserve">144.04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21.00</w:t>
            </w:r>
          </w:p>
        </w:tc>
        <w:tc>
          <w:tcPr>
            <w:tcW w:w="1100" w:type="dxa"/>
            <w:tcBorders/>
            <w:vAlign w:val="center"/>
          </w:tcPr>
          <w:p>
            <w:pPr>
              <w:jc w:val="right"/>
            </w:pPr>
            <w:r>
              <w:rPr>
                <w:rFonts w:ascii="宋体" w:eastAsia="宋体" w:hAnsi="宋体" w:cs="宋体"/>
                <w:b w:val="0"/>
                <w:i w:val="0"/>
                <w:color w:val="000000"/>
                <w:sz w:val="14"/>
              </w:rPr>
              <w:t xml:space="preserve">21.00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8.42</w:t>
            </w:r>
          </w:p>
        </w:tc>
        <w:tc>
          <w:tcPr>
            <w:tcW w:w="1100" w:type="dxa"/>
            <w:tcBorders/>
            <w:vAlign w:val="center"/>
          </w:tcPr>
          <w:p>
            <w:pPr>
              <w:jc w:val="right"/>
            </w:pPr>
            <w:r>
              <w:rPr>
                <w:rFonts w:ascii="宋体" w:eastAsia="宋体" w:hAnsi="宋体" w:cs="宋体"/>
                <w:b w:val="0"/>
                <w:i w:val="0"/>
                <w:color w:val="000000"/>
                <w:sz w:val="14"/>
              </w:rPr>
              <w:t xml:space="preserve">8.42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15.66</w:t>
            </w:r>
          </w:p>
        </w:tc>
        <w:tc>
          <w:tcPr>
            <w:tcW w:w="1100" w:type="dxa"/>
            <w:tcBorders/>
            <w:vAlign w:val="center"/>
          </w:tcPr>
          <w:p>
            <w:pPr>
              <w:jc w:val="right"/>
            </w:pPr>
            <w:r>
              <w:rPr>
                <w:rFonts w:ascii="宋体" w:eastAsia="宋体" w:hAnsi="宋体" w:cs="宋体"/>
                <w:b w:val="0"/>
                <w:i w:val="0"/>
                <w:color w:val="000000"/>
                <w:sz w:val="14"/>
              </w:rPr>
              <w:t xml:space="preserve">15.66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1100" w:type="dxa"/>
            <w:tcBorders/>
            <w:vAlign w:val="center"/>
          </w:tcPr>
          <w:p>
            <w:pPr>
              <w:jc w:val="right"/>
            </w:pPr>
            <w:r>
              <w:rPr>
                <w:rFonts w:ascii="宋体" w:eastAsia="宋体" w:hAnsi="宋体" w:cs="宋体"/>
                <w:b w:val="0"/>
                <w:i w:val="0"/>
                <w:color w:val="000000"/>
                <w:sz w:val="14"/>
              </w:rPr>
              <w:t xml:space="preserve">189.11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189.11</w:t>
            </w:r>
          </w:p>
        </w:tc>
        <w:tc>
          <w:tcPr>
            <w:tcW w:w="1980" w:type="dxa"/>
            <w:tcBorders/>
            <w:vAlign w:val="center"/>
          </w:tcPr>
          <w:p>
            <w:pPr>
              <w:jc w:val="right"/>
            </w:pPr>
            <w:r>
              <w:rPr>
                <w:rFonts w:ascii="宋体" w:eastAsia="宋体" w:hAnsi="宋体" w:cs="宋体"/>
                <w:b/>
                <w:i w:val="0"/>
                <w:color w:val="000000"/>
                <w:sz w:val="20"/>
              </w:rPr>
              <w:t xml:space="preserve">189.11</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80" w:type="dxa"/>
            <w:tcBorders/>
            <w:vAlign w:val="center"/>
          </w:tcPr>
          <w:p>
            <w:pPr>
              <w:jc w:val="right"/>
            </w:pPr>
            <w:r>
              <w:rPr>
                <w:rFonts w:ascii="宋体" w:eastAsia="宋体" w:hAnsi="宋体" w:cs="宋体"/>
                <w:b w:val="0"/>
                <w:i w:val="0"/>
                <w:color w:val="000000"/>
                <w:sz w:val="20"/>
              </w:rPr>
              <w:t xml:space="preserve">144.04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20.99</w:t>
            </w:r>
          </w:p>
        </w:tc>
        <w:tc>
          <w:tcPr>
            <w:tcW w:w="1980" w:type="dxa"/>
            <w:tcBorders/>
            <w:vAlign w:val="center"/>
          </w:tcPr>
          <w:p>
            <w:pPr>
              <w:jc w:val="right"/>
            </w:pPr>
            <w:r>
              <w:rPr>
                <w:rFonts w:ascii="宋体" w:eastAsia="宋体" w:hAnsi="宋体" w:cs="宋体"/>
                <w:b w:val="0"/>
                <w:i w:val="0"/>
                <w:color w:val="000000"/>
                <w:sz w:val="20"/>
              </w:rPr>
              <w:t xml:space="preserve">20.99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20.75</w:t>
            </w:r>
          </w:p>
        </w:tc>
        <w:tc>
          <w:tcPr>
            <w:tcW w:w="1980" w:type="dxa"/>
            <w:tcBorders/>
            <w:vAlign w:val="center"/>
          </w:tcPr>
          <w:p>
            <w:pPr>
              <w:jc w:val="right"/>
            </w:pPr>
            <w:r>
              <w:rPr>
                <w:rFonts w:ascii="宋体" w:eastAsia="宋体" w:hAnsi="宋体" w:cs="宋体"/>
                <w:b w:val="0"/>
                <w:i w:val="0"/>
                <w:color w:val="000000"/>
                <w:sz w:val="20"/>
              </w:rPr>
              <w:t xml:space="preserve">20.75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20.75</w:t>
            </w:r>
          </w:p>
        </w:tc>
        <w:tc>
          <w:tcPr>
            <w:tcW w:w="1980" w:type="dxa"/>
            <w:tcBorders/>
            <w:vAlign w:val="center"/>
          </w:tcPr>
          <w:p>
            <w:pPr>
              <w:jc w:val="right"/>
            </w:pPr>
            <w:r>
              <w:rPr>
                <w:rFonts w:ascii="宋体" w:eastAsia="宋体" w:hAnsi="宋体" w:cs="宋体"/>
                <w:b w:val="0"/>
                <w:i w:val="0"/>
                <w:color w:val="000000"/>
                <w:sz w:val="20"/>
              </w:rPr>
              <w:t xml:space="preserve">20.75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80" w:type="dxa"/>
            <w:tcBorders/>
            <w:vAlign w:val="center"/>
          </w:tcPr>
          <w:p>
            <w:pPr>
              <w:jc w:val="right"/>
            </w:pPr>
            <w:r>
              <w:rPr>
                <w:rFonts w:ascii="宋体" w:eastAsia="宋体" w:hAnsi="宋体" w:cs="宋体"/>
                <w:b w:val="0"/>
                <w:i w:val="0"/>
                <w:color w:val="000000"/>
                <w:sz w:val="20"/>
              </w:rPr>
              <w:t xml:space="preserve">8.43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80" w:type="dxa"/>
            <w:tcBorders/>
            <w:vAlign w:val="center"/>
          </w:tcPr>
          <w:p>
            <w:pPr>
              <w:jc w:val="right"/>
            </w:pPr>
            <w:r>
              <w:rPr>
                <w:rFonts w:ascii="宋体" w:eastAsia="宋体" w:hAnsi="宋体" w:cs="宋体"/>
                <w:b w:val="0"/>
                <w:i w:val="0"/>
                <w:color w:val="000000"/>
                <w:sz w:val="20"/>
              </w:rPr>
              <w:t xml:space="preserve">0.08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80" w:type="dxa"/>
            <w:tcBorders/>
            <w:vAlign w:val="center"/>
          </w:tcPr>
          <w:p>
            <w:pPr>
              <w:jc w:val="right"/>
            </w:pPr>
            <w:r>
              <w:rPr>
                <w:rFonts w:ascii="宋体" w:eastAsia="宋体" w:hAnsi="宋体" w:cs="宋体"/>
                <w:b w:val="0"/>
                <w:i w:val="0"/>
                <w:color w:val="000000"/>
                <w:sz w:val="20"/>
              </w:rPr>
              <w:t xml:space="preserve">15.66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181.98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7.06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75.11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3.61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58.18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20.75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8.35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15.66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182.05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7.06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012002盘锦市大洼区纪委监委综合保障中心-211104000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132.22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132.22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122.54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为全区纪委监委履行纪检监察职能提供办案、后勤和网络信息技术等保障工作。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稳定保障纪委监委办案、后勤和网络技术等后勤工作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有利于促进社会公平、正义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主管部门满意度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上级主管部门满意度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统筹推进纪检监察体制改革</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综合保障</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