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辽宁省盘锦市大洼区科学技术协会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辽宁省盘锦市大洼区科学技术协会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辽宁省盘锦市大洼区科学技术协会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辽宁省盘锦市大洼区科学技术协会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辽宁省盘锦市大洼区科学技术协会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辽宁省盘锦市大洼区科学技术协会概况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一）开展学术交流，活跃学术思想，促进科学发展和技术创新。</w:t>
        <w:br/>
        <w:t xml:space="preserve">    （二）弘扬科学精神，传播科学思想，普及科技知识，倡导科学方法。捍卫科学尊严，推广先进技术，开展科学技术教育活动，提高公众科学文化素质。</w:t>
        <w:br/>
        <w:t xml:space="preserve">    （三）按照国家、省、市有关科普工作的法律、方针、政策，在区委、区政府领导下，拟定全区科协系统科普工作的具体计划，并组织实施；动员社会各方面力量，开展科普活动和青少年科技教育活动，推广先进技术；指导全民科学素质领导小组成员单位及基层科普组织开展科普活动；加强科普工作队伍的建设工作；针对不同人群开展各类科普培训等。</w:t>
        <w:br/>
        <w:t xml:space="preserve">    （四）全心全意为科技工作者服务，反映科技工作者的意见和要求，维护科技工作者的合法权益；组织科技工作者开展科学论证、咨询服务，建言献策，促进科技成果向生产力转化。</w:t>
        <w:br/>
        <w:t xml:space="preserve">    （五）组织科技工作者参与科技政策、法规的制定和政治协商、科学决策、民主监督工作，促进决策科学化、民主化。</w:t>
        <w:br/>
        <w:t xml:space="preserve">    （六）表彰、宣传优秀科技工作者和举荐科技人才。</w:t>
        <w:br/>
        <w:t xml:space="preserve">    （七）开展省内科学技术交流与合作；促进与港、澳、台科技界的交往与联系；加强与国内外科学技术团体、科学技术工作者的民间交往与联系。</w:t>
        <w:br/>
        <w:t xml:space="preserve">    （八）负责对所属学会、科技类社会团体进行监督；对基层科协工作进行业务指导。</w:t>
        <w:br/>
        <w:t xml:space="preserve">    （九）承担区委、区政府和市科协交办的其他工作。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辽宁省盘锦市大洼区科学技术协会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1.盘锦市大洼区科学技术协会员会本级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110.42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110.42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110.42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减少27.51万元，降低19.94%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项目减少，人员组成变化，本年人员经费减少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110.42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74.61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67.57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工资福利支出65.69万元；商品和服务支出6.22万元；对个人和家庭的补助2.70万元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35.81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32.43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主要包括其中35万为科普行动计划专项资金，0.81万为举办大洼区科协委员培训班等业务支出。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减少27.51万元，降低19.94%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项目减少，人员组成变化，本年人员经费减少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110.42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74.61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35.81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减少27.51万元，降低19.94%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项目减少，人员组成变化，本年人员经费减少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139.58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107.96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358.10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2023年度一般公共预算财政拨款支出110.42万元。按支出功能分类科目分，包括：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1.一般公共服务支出51.50万元，具体包括：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50.69万元,主要是社会保障和就业、医疗卫生、住房保障、科学技术等支出，完成年初预算的83.21%，决算数与年初预算数存在差异的主要原因是项目减少，人员组成变化，本年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（2）一般公共服务支出（类）群众团体事务（款）一般行政管理事务（项）0.81万元,主要是举办大洼区科协委员培训班等支出，完成年初预算的0%，决算数与年初预算数存在差异的主要原因是新增加的项目。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2.科学技术支出35.00万元，具体包括：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（1）科学技术支出（类）科学技术普及（款）其他科学技术普及支出（项）35.00万元,主要是基层科普行动计划项目专项资金等支出，完成年初预算的0%，决算数与年初预算数存在差异的主要原因是上级拨款。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3.社会保障和就业支出15.76万元，具体包括：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2.70万元,主要是退休取暖费、退休独生子女费等支出，完成年初预算的99.63%，决算数与年初预算数存在差异的主要原因是保留小数进位产生的误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6.77万元,主要是养老保险等支出，完成年初预算的99.70%，决算数与年初预算数存在差异的主要原因是保留小数进位产生的误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6.14万元,主要是职业年金等支出，完成年初预算的0%，决算数与年初预算数存在差异的主要原因是职业年金支出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0.15万元,主要是工伤保险等支出，完成年初预算的166.66%，决算数与年初预算数存在差异的主要原因是补缴了上一年的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（1）卫生健康支出（类）行政事业单位医疗（款）行政单位医疗（项）2.55万元,主要是医疗保险等支出，完成年初预算的116.47%，决算数与年初预算数存在差异的主要原因是基数上调。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（2）卫生健康支出（类）行政事业单位医疗（款）其他行政事业单位医疗支出（项）0.08万元,主要是高额保险等支出，完成年初预算的100%，决算数与年初预算数存在差异的主要原因是无。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5.住房保障支出5.53万元，具体包括：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（1）住房保障支出（类）住房改革支出（款）住房公积金（项）5.53万元,主要是住房公积金等支出，完成年初预算的99.64%，决算数与年初预算数存在差异的主要原因是保留小数进位产生的误差。</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74.61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68.39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6.22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6.22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比上年减少2.16万元，降低25.78%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人员组成变化，本年人员经费减少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2023年区科协整体绩效自评69.11万元，用以推动我区科普工作开展，提高全民科学素质。执行率100%，整体绩效自评总得分100分；项目绩效自评10万元，用于开展科普活动，绩效自评等分57.04分。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16.科学技术支出(类)科学技术普及(款)其他科学技术普及支出(项):反应除上诉项目以外其他用于科学技术普及方面的支出。</w:t>
        <w:br/>
        <w:t xml:space="preserve">17.一般公共服务支出(类)群众团体事务(款)行政运行(项):反映行政单位(包括实行公务员管理的事业单位)的基本支出。</w:t>
        <w:br/>
        <w:t xml:space="preserve">18.一般公共服务支出(类)群众团体事务(款)一般行政管理事务(项):反映行政单位(包括实行公务员管理的事业单位)未单独设置项级科目的其他项目支出。</w:t>
        <w:br/>
        <w:t xml:space="preserve">19.社会保障就业支出(类)行政事业单位养老支出(款)行政单位离退休(项):反映行政单位(包括实行公务员管理的事业单位)开支的离退休经费。</w:t>
        <w:br/>
        <w:t xml:space="preserve">20.社会保障就业支出(类)行政事业单位养老支出(款)机关事业单位基本养老(项):反映机关事业单位实施养老保险制度由单位缴纳的基本养老保险缴费支出。</w:t>
        <w:br/>
        <w:t xml:space="preserve">21.社会保障就业支出(类)行政事业单位养老支出(款)机关事业单位职业年金(项):反映机关事业单位实施养老保险制度由单位实际缴纳的职业缴费支出</w:t>
        <w:tab/>
        <w:br/>
        <w:t xml:space="preserve">22.卫生健康支出(类)公共卫生(款)重大公共卫生服务(项):反映重大疾病、重大传染病预防控制等重大公共卫生服务项目支出。</w:t>
        <w:br/>
        <w:t xml:space="preserve">23.卫生健康支出(类)行政事业单位医疗(款)行政单位医疗(项):反映财政部门集中安排的行政单位基本医疗保险缴费经费，未参加医疗保险的事业单位的公费医疗经费，按国家规定享受离休人员待遇的医疗经费。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24.卫生健康支出(类)行政事业单位医疗(款)其他行政事业单位医疗支出(项):反映除上述项目以外的其他用于行政事业单位医疗方面的支出。</w:t>
        <w:br/>
        <w:t xml:space="preserve">25.住房保障支出(类)住房改革支出(款)住房公积金(项):反映行政事业单位按人力资源和社会保障部、财政部规定的基本工资和津贴补贴以及规定比例为职工缴纳的住房公积金。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110.42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51.50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jc w:val="right"/>
            </w:pPr>
            <w:r>
              <w:rPr>
                <w:rFonts w:ascii="宋体" w:eastAsia="宋体" w:hAnsi="宋体" w:cs="宋体"/>
                <w:b w:val="0"/>
                <w:i w:val="0"/>
                <w:color w:val="000000"/>
                <w:sz w:val="18"/>
              </w:rPr>
              <w:t xml:space="preserve">35.00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110.42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110.42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110.42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110.42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110.42</w:t>
            </w:r>
          </w:p>
        </w:tc>
        <w:tc>
          <w:tcPr>
            <w:tcW w:w="1160" w:type="dxa"/>
            <w:tcBorders/>
            <w:vAlign w:val="center"/>
          </w:tcPr>
          <w:p>
            <w:pPr>
              <w:jc w:val="right"/>
            </w:pPr>
            <w:r>
              <w:rPr>
                <w:rFonts w:ascii="宋体" w:eastAsia="宋体" w:hAnsi="宋体" w:cs="宋体"/>
                <w:b/>
                <w:i w:val="0"/>
                <w:color w:val="000000"/>
                <w:sz w:val="14"/>
              </w:rPr>
              <w:t xml:space="preserve">110.42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51.50</w:t>
            </w:r>
          </w:p>
        </w:tc>
        <w:tc>
          <w:tcPr>
            <w:tcW w:w="1160" w:type="dxa"/>
            <w:tcBorders/>
            <w:vAlign w:val="center"/>
          </w:tcPr>
          <w:p>
            <w:pPr>
              <w:jc w:val="right"/>
            </w:pPr>
            <w:r>
              <w:rPr>
                <w:rFonts w:ascii="宋体" w:eastAsia="宋体" w:hAnsi="宋体" w:cs="宋体"/>
                <w:b w:val="0"/>
                <w:i w:val="0"/>
                <w:color w:val="000000"/>
                <w:sz w:val="14"/>
              </w:rPr>
              <w:t xml:space="preserve">51.50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51.50</w:t>
            </w:r>
          </w:p>
        </w:tc>
        <w:tc>
          <w:tcPr>
            <w:tcW w:w="1160" w:type="dxa"/>
            <w:tcBorders/>
            <w:vAlign w:val="center"/>
          </w:tcPr>
          <w:p>
            <w:pPr>
              <w:jc w:val="right"/>
            </w:pPr>
            <w:r>
              <w:rPr>
                <w:rFonts w:ascii="宋体" w:eastAsia="宋体" w:hAnsi="宋体" w:cs="宋体"/>
                <w:b w:val="0"/>
                <w:i w:val="0"/>
                <w:color w:val="000000"/>
                <w:sz w:val="14"/>
              </w:rPr>
              <w:t xml:space="preserve">51.50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50.69</w:t>
            </w:r>
          </w:p>
        </w:tc>
        <w:tc>
          <w:tcPr>
            <w:tcW w:w="1160" w:type="dxa"/>
            <w:tcBorders/>
            <w:vAlign w:val="center"/>
          </w:tcPr>
          <w:p>
            <w:pPr>
              <w:jc w:val="right"/>
            </w:pPr>
            <w:r>
              <w:rPr>
                <w:rFonts w:ascii="宋体" w:eastAsia="宋体" w:hAnsi="宋体" w:cs="宋体"/>
                <w:b w:val="0"/>
                <w:i w:val="0"/>
                <w:color w:val="000000"/>
                <w:sz w:val="14"/>
              </w:rPr>
              <w:t xml:space="preserve">50.69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科学技术支出</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科学技术普及</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其他科学技术普及支出</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jc w:val="right"/>
            </w:pPr>
            <w:r>
              <w:rPr>
                <w:rFonts w:ascii="宋体" w:eastAsia="宋体" w:hAnsi="宋体" w:cs="宋体"/>
                <w:b w:val="0"/>
                <w:i w:val="0"/>
                <w:color w:val="000000"/>
                <w:sz w:val="14"/>
              </w:rPr>
              <w:t xml:space="preserve">35.00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15.76</w:t>
            </w:r>
          </w:p>
        </w:tc>
        <w:tc>
          <w:tcPr>
            <w:tcW w:w="1160" w:type="dxa"/>
            <w:tcBorders/>
            <w:vAlign w:val="center"/>
          </w:tcPr>
          <w:p>
            <w:pPr>
              <w:jc w:val="right"/>
            </w:pPr>
            <w:r>
              <w:rPr>
                <w:rFonts w:ascii="宋体" w:eastAsia="宋体" w:hAnsi="宋体" w:cs="宋体"/>
                <w:b w:val="0"/>
                <w:i w:val="0"/>
                <w:color w:val="000000"/>
                <w:sz w:val="14"/>
              </w:rPr>
              <w:t xml:space="preserve">15.76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15.61</w:t>
            </w:r>
          </w:p>
        </w:tc>
        <w:tc>
          <w:tcPr>
            <w:tcW w:w="1160" w:type="dxa"/>
            <w:tcBorders/>
            <w:vAlign w:val="center"/>
          </w:tcPr>
          <w:p>
            <w:pPr>
              <w:jc w:val="right"/>
            </w:pPr>
            <w:r>
              <w:rPr>
                <w:rFonts w:ascii="宋体" w:eastAsia="宋体" w:hAnsi="宋体" w:cs="宋体"/>
                <w:b w:val="0"/>
                <w:i w:val="0"/>
                <w:color w:val="000000"/>
                <w:sz w:val="14"/>
              </w:rPr>
              <w:t xml:space="preserve">15.61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jc w:val="right"/>
            </w:pPr>
            <w:r>
              <w:rPr>
                <w:rFonts w:ascii="宋体" w:eastAsia="宋体" w:hAnsi="宋体" w:cs="宋体"/>
                <w:b w:val="0"/>
                <w:i w:val="0"/>
                <w:color w:val="000000"/>
                <w:sz w:val="14"/>
              </w:rPr>
              <w:t xml:space="preserve">6.77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6.14</w:t>
            </w:r>
          </w:p>
        </w:tc>
        <w:tc>
          <w:tcPr>
            <w:tcW w:w="1160" w:type="dxa"/>
            <w:tcBorders/>
            <w:vAlign w:val="center"/>
          </w:tcPr>
          <w:p>
            <w:pPr>
              <w:jc w:val="right"/>
            </w:pPr>
            <w:r>
              <w:rPr>
                <w:rFonts w:ascii="宋体" w:eastAsia="宋体" w:hAnsi="宋体" w:cs="宋体"/>
                <w:b w:val="0"/>
                <w:i w:val="0"/>
                <w:color w:val="000000"/>
                <w:sz w:val="14"/>
              </w:rPr>
              <w:t xml:space="preserve">6.14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2.63</w:t>
            </w:r>
          </w:p>
        </w:tc>
        <w:tc>
          <w:tcPr>
            <w:tcW w:w="1160" w:type="dxa"/>
            <w:tcBorders/>
            <w:vAlign w:val="center"/>
          </w:tcPr>
          <w:p>
            <w:pPr>
              <w:jc w:val="right"/>
            </w:pPr>
            <w:r>
              <w:rPr>
                <w:rFonts w:ascii="宋体" w:eastAsia="宋体" w:hAnsi="宋体" w:cs="宋体"/>
                <w:b w:val="0"/>
                <w:i w:val="0"/>
                <w:color w:val="000000"/>
                <w:sz w:val="14"/>
              </w:rPr>
              <w:t xml:space="preserve">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2.63</w:t>
            </w:r>
          </w:p>
        </w:tc>
        <w:tc>
          <w:tcPr>
            <w:tcW w:w="1160" w:type="dxa"/>
            <w:tcBorders/>
            <w:vAlign w:val="center"/>
          </w:tcPr>
          <w:p>
            <w:pPr>
              <w:jc w:val="right"/>
            </w:pPr>
            <w:r>
              <w:rPr>
                <w:rFonts w:ascii="宋体" w:eastAsia="宋体" w:hAnsi="宋体" w:cs="宋体"/>
                <w:b w:val="0"/>
                <w:i w:val="0"/>
                <w:color w:val="000000"/>
                <w:sz w:val="14"/>
              </w:rPr>
              <w:t xml:space="preserve">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2.55</w:t>
            </w:r>
          </w:p>
        </w:tc>
        <w:tc>
          <w:tcPr>
            <w:tcW w:w="1160" w:type="dxa"/>
            <w:tcBorders/>
            <w:vAlign w:val="center"/>
          </w:tcPr>
          <w:p>
            <w:pPr>
              <w:jc w:val="right"/>
            </w:pPr>
            <w:r>
              <w:rPr>
                <w:rFonts w:ascii="宋体" w:eastAsia="宋体" w:hAnsi="宋体" w:cs="宋体"/>
                <w:b w:val="0"/>
                <w:i w:val="0"/>
                <w:color w:val="000000"/>
                <w:sz w:val="14"/>
              </w:rPr>
              <w:t xml:space="preserve">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jc w:val="right"/>
            </w:pPr>
            <w:r>
              <w:rPr>
                <w:rFonts w:ascii="宋体" w:eastAsia="宋体" w:hAnsi="宋体" w:cs="宋体"/>
                <w:b w:val="0"/>
                <w:i w:val="0"/>
                <w:color w:val="000000"/>
                <w:sz w:val="14"/>
              </w:rPr>
              <w:t xml:space="preserve">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110.42</w:t>
            </w:r>
          </w:p>
        </w:tc>
        <w:tc>
          <w:tcPr>
            <w:tcW w:w="1120" w:type="dxa"/>
            <w:tcBorders/>
            <w:vAlign w:val="center"/>
          </w:tcPr>
          <w:p>
            <w:pPr>
              <w:jc w:val="right"/>
            </w:pPr>
            <w:r>
              <w:rPr>
                <w:rFonts w:ascii="宋体" w:eastAsia="宋体" w:hAnsi="宋体" w:cs="宋体"/>
                <w:b/>
                <w:i w:val="0"/>
                <w:color w:val="000000"/>
                <w:sz w:val="16"/>
              </w:rPr>
              <w:t xml:space="preserve">74.61</w:t>
            </w:r>
          </w:p>
        </w:tc>
        <w:tc>
          <w:tcPr>
            <w:tcW w:w="1120" w:type="dxa"/>
            <w:tcBorders/>
            <w:vAlign w:val="center"/>
          </w:tcPr>
          <w:p>
            <w:pPr>
              <w:jc w:val="right"/>
            </w:pPr>
            <w:r>
              <w:rPr>
                <w:rFonts w:ascii="宋体" w:eastAsia="宋体" w:hAnsi="宋体" w:cs="宋体"/>
                <w:b/>
                <w:i w:val="0"/>
                <w:color w:val="000000"/>
                <w:sz w:val="16"/>
              </w:rPr>
              <w:t xml:space="preserve">35.81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51.50</w:t>
            </w:r>
          </w:p>
        </w:tc>
        <w:tc>
          <w:tcPr>
            <w:tcW w:w="1120" w:type="dxa"/>
            <w:tcBorders/>
            <w:vAlign w:val="center"/>
          </w:tcPr>
          <w:p>
            <w:pPr>
              <w:jc w:val="right"/>
            </w:pPr>
            <w:r>
              <w:rPr>
                <w:rFonts w:ascii="宋体" w:eastAsia="宋体" w:hAnsi="宋体" w:cs="宋体"/>
                <w:b w:val="0"/>
                <w:i w:val="0"/>
                <w:color w:val="000000"/>
                <w:sz w:val="16"/>
              </w:rPr>
              <w:t xml:space="preserve">50.69</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51.50</w:t>
            </w:r>
          </w:p>
        </w:tc>
        <w:tc>
          <w:tcPr>
            <w:tcW w:w="1120" w:type="dxa"/>
            <w:tcBorders/>
            <w:vAlign w:val="center"/>
          </w:tcPr>
          <w:p>
            <w:pPr>
              <w:jc w:val="right"/>
            </w:pPr>
            <w:r>
              <w:rPr>
                <w:rFonts w:ascii="宋体" w:eastAsia="宋体" w:hAnsi="宋体" w:cs="宋体"/>
                <w:b w:val="0"/>
                <w:i w:val="0"/>
                <w:color w:val="000000"/>
                <w:sz w:val="16"/>
              </w:rPr>
              <w:t xml:space="preserve">50.69</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50.69</w:t>
            </w:r>
          </w:p>
        </w:tc>
        <w:tc>
          <w:tcPr>
            <w:tcW w:w="1120" w:type="dxa"/>
            <w:tcBorders/>
            <w:vAlign w:val="center"/>
          </w:tcPr>
          <w:p>
            <w:pPr>
              <w:jc w:val="right"/>
            </w:pPr>
            <w:r>
              <w:rPr>
                <w:rFonts w:ascii="宋体" w:eastAsia="宋体" w:hAnsi="宋体" w:cs="宋体"/>
                <w:b w:val="0"/>
                <w:i w:val="0"/>
                <w:color w:val="000000"/>
                <w:sz w:val="16"/>
              </w:rPr>
              <w:t xml:space="preserve">50.69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科学技术支出</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科学技术普及</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其他科学技术普及支出</w:t>
            </w: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15.76</w:t>
            </w:r>
          </w:p>
        </w:tc>
        <w:tc>
          <w:tcPr>
            <w:tcW w:w="1120" w:type="dxa"/>
            <w:tcBorders/>
            <w:vAlign w:val="center"/>
          </w:tcPr>
          <w:p>
            <w:pPr>
              <w:jc w:val="right"/>
            </w:pPr>
            <w:r>
              <w:rPr>
                <w:rFonts w:ascii="宋体" w:eastAsia="宋体" w:hAnsi="宋体" w:cs="宋体"/>
                <w:b w:val="0"/>
                <w:i w:val="0"/>
                <w:color w:val="000000"/>
                <w:sz w:val="16"/>
              </w:rPr>
              <w:t xml:space="preserve">15.76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15.61</w:t>
            </w:r>
          </w:p>
        </w:tc>
        <w:tc>
          <w:tcPr>
            <w:tcW w:w="1120" w:type="dxa"/>
            <w:tcBorders/>
            <w:vAlign w:val="center"/>
          </w:tcPr>
          <w:p>
            <w:pPr>
              <w:jc w:val="right"/>
            </w:pPr>
            <w:r>
              <w:rPr>
                <w:rFonts w:ascii="宋体" w:eastAsia="宋体" w:hAnsi="宋体" w:cs="宋体"/>
                <w:b w:val="0"/>
                <w:i w:val="0"/>
                <w:color w:val="000000"/>
                <w:sz w:val="16"/>
              </w:rPr>
              <w:t xml:space="preserve">15.61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2.70</w:t>
            </w:r>
          </w:p>
        </w:tc>
        <w:tc>
          <w:tcPr>
            <w:tcW w:w="1120" w:type="dxa"/>
            <w:tcBorders/>
            <w:vAlign w:val="center"/>
          </w:tcPr>
          <w:p>
            <w:pPr>
              <w:jc w:val="right"/>
            </w:pPr>
            <w:r>
              <w:rPr>
                <w:rFonts w:ascii="宋体" w:eastAsia="宋体" w:hAnsi="宋体" w:cs="宋体"/>
                <w:b w:val="0"/>
                <w:i w:val="0"/>
                <w:color w:val="000000"/>
                <w:sz w:val="16"/>
              </w:rPr>
              <w:t xml:space="preserve">2.70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jc w:val="right"/>
            </w:pPr>
            <w:r>
              <w:rPr>
                <w:rFonts w:ascii="宋体" w:eastAsia="宋体" w:hAnsi="宋体" w:cs="宋体"/>
                <w:b w:val="0"/>
                <w:i w:val="0"/>
                <w:color w:val="000000"/>
                <w:sz w:val="16"/>
              </w:rPr>
              <w:t xml:space="preserve">6.77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6.14</w:t>
            </w:r>
          </w:p>
        </w:tc>
        <w:tc>
          <w:tcPr>
            <w:tcW w:w="1120" w:type="dxa"/>
            <w:tcBorders/>
            <w:vAlign w:val="center"/>
          </w:tcPr>
          <w:p>
            <w:pPr>
              <w:jc w:val="right"/>
            </w:pPr>
            <w:r>
              <w:rPr>
                <w:rFonts w:ascii="宋体" w:eastAsia="宋体" w:hAnsi="宋体" w:cs="宋体"/>
                <w:b w:val="0"/>
                <w:i w:val="0"/>
                <w:color w:val="000000"/>
                <w:sz w:val="16"/>
              </w:rPr>
              <w:t xml:space="preserve">6.14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2.63</w:t>
            </w:r>
          </w:p>
        </w:tc>
        <w:tc>
          <w:tcPr>
            <w:tcW w:w="1120" w:type="dxa"/>
            <w:tcBorders/>
            <w:vAlign w:val="center"/>
          </w:tcPr>
          <w:p>
            <w:pPr>
              <w:jc w:val="right"/>
            </w:pPr>
            <w:r>
              <w:rPr>
                <w:rFonts w:ascii="宋体" w:eastAsia="宋体" w:hAnsi="宋体" w:cs="宋体"/>
                <w:b w:val="0"/>
                <w:i w:val="0"/>
                <w:color w:val="000000"/>
                <w:sz w:val="16"/>
              </w:rPr>
              <w:t xml:space="preserve">2.63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2.63</w:t>
            </w:r>
          </w:p>
        </w:tc>
        <w:tc>
          <w:tcPr>
            <w:tcW w:w="1120" w:type="dxa"/>
            <w:tcBorders/>
            <w:vAlign w:val="center"/>
          </w:tcPr>
          <w:p>
            <w:pPr>
              <w:jc w:val="right"/>
            </w:pPr>
            <w:r>
              <w:rPr>
                <w:rFonts w:ascii="宋体" w:eastAsia="宋体" w:hAnsi="宋体" w:cs="宋体"/>
                <w:b w:val="0"/>
                <w:i w:val="0"/>
                <w:color w:val="000000"/>
                <w:sz w:val="16"/>
              </w:rPr>
              <w:t xml:space="preserve">2.63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2.55</w:t>
            </w:r>
          </w:p>
        </w:tc>
        <w:tc>
          <w:tcPr>
            <w:tcW w:w="1120" w:type="dxa"/>
            <w:tcBorders/>
            <w:vAlign w:val="center"/>
          </w:tcPr>
          <w:p>
            <w:pPr>
              <w:jc w:val="right"/>
            </w:pPr>
            <w:r>
              <w:rPr>
                <w:rFonts w:ascii="宋体" w:eastAsia="宋体" w:hAnsi="宋体" w:cs="宋体"/>
                <w:b w:val="0"/>
                <w:i w:val="0"/>
                <w:color w:val="000000"/>
                <w:sz w:val="16"/>
              </w:rPr>
              <w:t xml:space="preserve">2.55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jc w:val="right"/>
            </w:pPr>
            <w:r>
              <w:rPr>
                <w:rFonts w:ascii="宋体" w:eastAsia="宋体" w:hAnsi="宋体" w:cs="宋体"/>
                <w:b w:val="0"/>
                <w:i w:val="0"/>
                <w:color w:val="000000"/>
                <w:sz w:val="16"/>
              </w:rPr>
              <w:t xml:space="preserve">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51.50</w:t>
            </w:r>
          </w:p>
        </w:tc>
        <w:tc>
          <w:tcPr>
            <w:tcW w:w="1100" w:type="dxa"/>
            <w:tcBorders/>
            <w:vAlign w:val="center"/>
          </w:tcPr>
          <w:p>
            <w:pPr>
              <w:jc w:val="right"/>
            </w:pPr>
            <w:r>
              <w:rPr>
                <w:rFonts w:ascii="宋体" w:eastAsia="宋体" w:hAnsi="宋体" w:cs="宋体"/>
                <w:b w:val="0"/>
                <w:i w:val="0"/>
                <w:color w:val="000000"/>
                <w:sz w:val="14"/>
              </w:rPr>
              <w:t xml:space="preserve">51.50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jc w:val="right"/>
            </w:pPr>
            <w:r>
              <w:rPr>
                <w:rFonts w:ascii="宋体" w:eastAsia="宋体" w:hAnsi="宋体" w:cs="宋体"/>
                <w:b w:val="0"/>
                <w:i w:val="0"/>
                <w:color w:val="000000"/>
                <w:sz w:val="14"/>
              </w:rPr>
              <w:t xml:space="preserve">35.00</w:t>
            </w:r>
          </w:p>
        </w:tc>
        <w:tc>
          <w:tcPr>
            <w:tcW w:w="1100" w:type="dxa"/>
            <w:tcBorders/>
            <w:vAlign w:val="center"/>
          </w:tcPr>
          <w:p>
            <w:pPr>
              <w:jc w:val="right"/>
            </w:pPr>
            <w:r>
              <w:rPr>
                <w:rFonts w:ascii="宋体" w:eastAsia="宋体" w:hAnsi="宋体" w:cs="宋体"/>
                <w:b w:val="0"/>
                <w:i w:val="0"/>
                <w:color w:val="000000"/>
                <w:sz w:val="14"/>
              </w:rPr>
              <w:t xml:space="preserve">35.00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15.76</w:t>
            </w:r>
          </w:p>
        </w:tc>
        <w:tc>
          <w:tcPr>
            <w:tcW w:w="1100" w:type="dxa"/>
            <w:tcBorders/>
            <w:vAlign w:val="center"/>
          </w:tcPr>
          <w:p>
            <w:pPr>
              <w:jc w:val="right"/>
            </w:pPr>
            <w:r>
              <w:rPr>
                <w:rFonts w:ascii="宋体" w:eastAsia="宋体" w:hAnsi="宋体" w:cs="宋体"/>
                <w:b w:val="0"/>
                <w:i w:val="0"/>
                <w:color w:val="000000"/>
                <w:sz w:val="14"/>
              </w:rPr>
              <w:t xml:space="preserve">15.76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2.63</w:t>
            </w:r>
          </w:p>
        </w:tc>
        <w:tc>
          <w:tcPr>
            <w:tcW w:w="1100" w:type="dxa"/>
            <w:tcBorders/>
            <w:vAlign w:val="center"/>
          </w:tcPr>
          <w:p>
            <w:pPr>
              <w:jc w:val="right"/>
            </w:pPr>
            <w:r>
              <w:rPr>
                <w:rFonts w:ascii="宋体" w:eastAsia="宋体" w:hAnsi="宋体" w:cs="宋体"/>
                <w:b w:val="0"/>
                <w:i w:val="0"/>
                <w:color w:val="000000"/>
                <w:sz w:val="14"/>
              </w:rPr>
              <w:t xml:space="preserve">2.63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5.53</w:t>
            </w:r>
          </w:p>
        </w:tc>
        <w:tc>
          <w:tcPr>
            <w:tcW w:w="1100" w:type="dxa"/>
            <w:tcBorders/>
            <w:vAlign w:val="center"/>
          </w:tcPr>
          <w:p>
            <w:pPr>
              <w:jc w:val="right"/>
            </w:pPr>
            <w:r>
              <w:rPr>
                <w:rFonts w:ascii="宋体" w:eastAsia="宋体" w:hAnsi="宋体" w:cs="宋体"/>
                <w:b w:val="0"/>
                <w:i w:val="0"/>
                <w:color w:val="000000"/>
                <w:sz w:val="14"/>
              </w:rPr>
              <w:t xml:space="preserve">5.53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1100" w:type="dxa"/>
            <w:tcBorders/>
            <w:vAlign w:val="center"/>
          </w:tcPr>
          <w:p>
            <w:pPr>
              <w:jc w:val="right"/>
            </w:pPr>
            <w:r>
              <w:rPr>
                <w:rFonts w:ascii="宋体" w:eastAsia="宋体" w:hAnsi="宋体" w:cs="宋体"/>
                <w:b w:val="0"/>
                <w:i w:val="0"/>
                <w:color w:val="000000"/>
                <w:sz w:val="14"/>
              </w:rPr>
              <w:t xml:space="preserve">110.42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110.42</w:t>
            </w:r>
          </w:p>
        </w:tc>
        <w:tc>
          <w:tcPr>
            <w:tcW w:w="1980" w:type="dxa"/>
            <w:tcBorders/>
            <w:vAlign w:val="center"/>
          </w:tcPr>
          <w:p>
            <w:pPr>
              <w:jc w:val="right"/>
            </w:pPr>
            <w:r>
              <w:rPr>
                <w:rFonts w:ascii="宋体" w:eastAsia="宋体" w:hAnsi="宋体" w:cs="宋体"/>
                <w:b/>
                <w:i w:val="0"/>
                <w:color w:val="000000"/>
                <w:sz w:val="20"/>
              </w:rPr>
              <w:t xml:space="preserve">74.61</w:t>
            </w:r>
          </w:p>
        </w:tc>
        <w:tc>
          <w:tcPr>
            <w:tcW w:w="1952" w:type="dxa"/>
            <w:tcBorders/>
            <w:vAlign w:val="center"/>
          </w:tcPr>
          <w:p>
            <w:pPr>
              <w:jc w:val="right"/>
            </w:pPr>
            <w:r>
              <w:rPr>
                <w:rFonts w:ascii="宋体" w:eastAsia="宋体" w:hAnsi="宋体" w:cs="宋体"/>
                <w:b/>
                <w:i w:val="0"/>
                <w:color w:val="000000"/>
                <w:sz w:val="20"/>
              </w:rPr>
              <w:t xml:space="preserve">35.81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51.50</w:t>
            </w:r>
          </w:p>
        </w:tc>
        <w:tc>
          <w:tcPr>
            <w:tcW w:w="1980" w:type="dxa"/>
            <w:tcBorders/>
            <w:vAlign w:val="center"/>
          </w:tcPr>
          <w:p>
            <w:pPr>
              <w:jc w:val="right"/>
            </w:pPr>
            <w:r>
              <w:rPr>
                <w:rFonts w:ascii="宋体" w:eastAsia="宋体" w:hAnsi="宋体" w:cs="宋体"/>
                <w:b w:val="0"/>
                <w:i w:val="0"/>
                <w:color w:val="000000"/>
                <w:sz w:val="20"/>
              </w:rPr>
              <w:t xml:space="preserve">50.69</w:t>
            </w:r>
          </w:p>
        </w:tc>
        <w:tc>
          <w:tcPr>
            <w:tcW w:w="1952" w:type="dxa"/>
            <w:tcBorders/>
            <w:vAlign w:val="center"/>
          </w:tcPr>
          <w:p>
            <w:pPr>
              <w:jc w:val="right"/>
            </w:pPr>
            <w:r>
              <w:rPr>
                <w:rFonts w:ascii="宋体" w:eastAsia="宋体" w:hAnsi="宋体" w:cs="宋体"/>
                <w:b w:val="0"/>
                <w:i w:val="0"/>
                <w:color w:val="000000"/>
                <w:sz w:val="20"/>
              </w:rPr>
              <w:t xml:space="preserve">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51.50</w:t>
            </w:r>
          </w:p>
        </w:tc>
        <w:tc>
          <w:tcPr>
            <w:tcW w:w="1980" w:type="dxa"/>
            <w:tcBorders/>
            <w:vAlign w:val="center"/>
          </w:tcPr>
          <w:p>
            <w:pPr>
              <w:jc w:val="right"/>
            </w:pPr>
            <w:r>
              <w:rPr>
                <w:rFonts w:ascii="宋体" w:eastAsia="宋体" w:hAnsi="宋体" w:cs="宋体"/>
                <w:b w:val="0"/>
                <w:i w:val="0"/>
                <w:color w:val="000000"/>
                <w:sz w:val="20"/>
              </w:rPr>
              <w:t xml:space="preserve">50.69</w:t>
            </w:r>
          </w:p>
        </w:tc>
        <w:tc>
          <w:tcPr>
            <w:tcW w:w="1952" w:type="dxa"/>
            <w:tcBorders/>
            <w:vAlign w:val="center"/>
          </w:tcPr>
          <w:p>
            <w:pPr>
              <w:jc w:val="right"/>
            </w:pPr>
            <w:r>
              <w:rPr>
                <w:rFonts w:ascii="宋体" w:eastAsia="宋体" w:hAnsi="宋体" w:cs="宋体"/>
                <w:b w:val="0"/>
                <w:i w:val="0"/>
                <w:color w:val="000000"/>
                <w:sz w:val="20"/>
              </w:rPr>
              <w:t xml:space="preserve">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50.69</w:t>
            </w:r>
          </w:p>
        </w:tc>
        <w:tc>
          <w:tcPr>
            <w:tcW w:w="1980" w:type="dxa"/>
            <w:tcBorders/>
            <w:vAlign w:val="center"/>
          </w:tcPr>
          <w:p>
            <w:pPr>
              <w:jc w:val="right"/>
            </w:pPr>
            <w:r>
              <w:rPr>
                <w:rFonts w:ascii="宋体" w:eastAsia="宋体" w:hAnsi="宋体" w:cs="宋体"/>
                <w:b w:val="0"/>
                <w:i w:val="0"/>
                <w:color w:val="000000"/>
                <w:sz w:val="20"/>
              </w:rPr>
              <w:t xml:space="preserve">50.69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科学技术支出</w:t>
            </w:r>
          </w:p>
        </w:tc>
        <w:tc>
          <w:tcPr>
            <w:tcW w:w="1980" w:type="dxa"/>
            <w:tcBorders/>
            <w:vAlign w:val="center"/>
          </w:tcPr>
          <w:p>
            <w:pPr>
              <w:jc w:val="right"/>
            </w:pPr>
            <w:r>
              <w:rPr>
                <w:rFonts w:ascii="宋体" w:eastAsia="宋体" w:hAnsi="宋体" w:cs="宋体"/>
                <w:b w:val="0"/>
                <w:i w:val="0"/>
                <w:color w:val="000000"/>
                <w:sz w:val="20"/>
              </w:rPr>
              <w:t xml:space="preserve">35.00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科学技术普及</w:t>
            </w:r>
          </w:p>
        </w:tc>
        <w:tc>
          <w:tcPr>
            <w:tcW w:w="1980" w:type="dxa"/>
            <w:tcBorders/>
            <w:vAlign w:val="center"/>
          </w:tcPr>
          <w:p>
            <w:pPr>
              <w:jc w:val="right"/>
            </w:pPr>
            <w:r>
              <w:rPr>
                <w:rFonts w:ascii="宋体" w:eastAsia="宋体" w:hAnsi="宋体" w:cs="宋体"/>
                <w:b w:val="0"/>
                <w:i w:val="0"/>
                <w:color w:val="000000"/>
                <w:sz w:val="20"/>
              </w:rPr>
              <w:t xml:space="preserve">35.00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其他科学技术普及支出</w:t>
            </w:r>
          </w:p>
        </w:tc>
        <w:tc>
          <w:tcPr>
            <w:tcW w:w="1980" w:type="dxa"/>
            <w:tcBorders/>
            <w:vAlign w:val="center"/>
          </w:tcPr>
          <w:p>
            <w:pPr>
              <w:jc w:val="right"/>
            </w:pPr>
            <w:r>
              <w:rPr>
                <w:rFonts w:ascii="宋体" w:eastAsia="宋体" w:hAnsi="宋体" w:cs="宋体"/>
                <w:b w:val="0"/>
                <w:i w:val="0"/>
                <w:color w:val="000000"/>
                <w:sz w:val="20"/>
              </w:rPr>
              <w:t xml:space="preserve">35.00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15.76</w:t>
            </w:r>
          </w:p>
        </w:tc>
        <w:tc>
          <w:tcPr>
            <w:tcW w:w="1980" w:type="dxa"/>
            <w:tcBorders/>
            <w:vAlign w:val="center"/>
          </w:tcPr>
          <w:p>
            <w:pPr>
              <w:jc w:val="right"/>
            </w:pPr>
            <w:r>
              <w:rPr>
                <w:rFonts w:ascii="宋体" w:eastAsia="宋体" w:hAnsi="宋体" w:cs="宋体"/>
                <w:b w:val="0"/>
                <w:i w:val="0"/>
                <w:color w:val="000000"/>
                <w:sz w:val="20"/>
              </w:rPr>
              <w:t xml:space="preserve">15.76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15.61</w:t>
            </w:r>
          </w:p>
        </w:tc>
        <w:tc>
          <w:tcPr>
            <w:tcW w:w="1980" w:type="dxa"/>
            <w:tcBorders/>
            <w:vAlign w:val="center"/>
          </w:tcPr>
          <w:p>
            <w:pPr>
              <w:jc w:val="right"/>
            </w:pPr>
            <w:r>
              <w:rPr>
                <w:rFonts w:ascii="宋体" w:eastAsia="宋体" w:hAnsi="宋体" w:cs="宋体"/>
                <w:b w:val="0"/>
                <w:i w:val="0"/>
                <w:color w:val="000000"/>
                <w:sz w:val="20"/>
              </w:rPr>
              <w:t xml:space="preserve">15.61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2.70</w:t>
            </w:r>
          </w:p>
        </w:tc>
        <w:tc>
          <w:tcPr>
            <w:tcW w:w="1980" w:type="dxa"/>
            <w:tcBorders/>
            <w:vAlign w:val="center"/>
          </w:tcPr>
          <w:p>
            <w:pPr>
              <w:jc w:val="right"/>
            </w:pPr>
            <w:r>
              <w:rPr>
                <w:rFonts w:ascii="宋体" w:eastAsia="宋体" w:hAnsi="宋体" w:cs="宋体"/>
                <w:b w:val="0"/>
                <w:i w:val="0"/>
                <w:color w:val="000000"/>
                <w:sz w:val="20"/>
              </w:rPr>
              <w:t xml:space="preserve">2.70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80" w:type="dxa"/>
            <w:tcBorders/>
            <w:vAlign w:val="center"/>
          </w:tcPr>
          <w:p>
            <w:pPr>
              <w:jc w:val="right"/>
            </w:pPr>
            <w:r>
              <w:rPr>
                <w:rFonts w:ascii="宋体" w:eastAsia="宋体" w:hAnsi="宋体" w:cs="宋体"/>
                <w:b w:val="0"/>
                <w:i w:val="0"/>
                <w:color w:val="000000"/>
                <w:sz w:val="20"/>
              </w:rPr>
              <w:t xml:space="preserve">6.77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6.14</w:t>
            </w:r>
          </w:p>
        </w:tc>
        <w:tc>
          <w:tcPr>
            <w:tcW w:w="1980" w:type="dxa"/>
            <w:tcBorders/>
            <w:vAlign w:val="center"/>
          </w:tcPr>
          <w:p>
            <w:pPr>
              <w:jc w:val="right"/>
            </w:pPr>
            <w:r>
              <w:rPr>
                <w:rFonts w:ascii="宋体" w:eastAsia="宋体" w:hAnsi="宋体" w:cs="宋体"/>
                <w:b w:val="0"/>
                <w:i w:val="0"/>
                <w:color w:val="000000"/>
                <w:sz w:val="20"/>
              </w:rPr>
              <w:t xml:space="preserve">6.14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2.63</w:t>
            </w:r>
          </w:p>
        </w:tc>
        <w:tc>
          <w:tcPr>
            <w:tcW w:w="1980" w:type="dxa"/>
            <w:tcBorders/>
            <w:vAlign w:val="center"/>
          </w:tcPr>
          <w:p>
            <w:pPr>
              <w:jc w:val="right"/>
            </w:pPr>
            <w:r>
              <w:rPr>
                <w:rFonts w:ascii="宋体" w:eastAsia="宋体" w:hAnsi="宋体" w:cs="宋体"/>
                <w:b w:val="0"/>
                <w:i w:val="0"/>
                <w:color w:val="000000"/>
                <w:sz w:val="20"/>
              </w:rPr>
              <w:t xml:space="preserve">2.63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2.63</w:t>
            </w:r>
          </w:p>
        </w:tc>
        <w:tc>
          <w:tcPr>
            <w:tcW w:w="1980" w:type="dxa"/>
            <w:tcBorders/>
            <w:vAlign w:val="center"/>
          </w:tcPr>
          <w:p>
            <w:pPr>
              <w:jc w:val="right"/>
            </w:pPr>
            <w:r>
              <w:rPr>
                <w:rFonts w:ascii="宋体" w:eastAsia="宋体" w:hAnsi="宋体" w:cs="宋体"/>
                <w:b w:val="0"/>
                <w:i w:val="0"/>
                <w:color w:val="000000"/>
                <w:sz w:val="20"/>
              </w:rPr>
              <w:t xml:space="preserve">2.63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2.55</w:t>
            </w:r>
          </w:p>
        </w:tc>
        <w:tc>
          <w:tcPr>
            <w:tcW w:w="1980" w:type="dxa"/>
            <w:tcBorders/>
            <w:vAlign w:val="center"/>
          </w:tcPr>
          <w:p>
            <w:pPr>
              <w:jc w:val="right"/>
            </w:pPr>
            <w:r>
              <w:rPr>
                <w:rFonts w:ascii="宋体" w:eastAsia="宋体" w:hAnsi="宋体" w:cs="宋体"/>
                <w:b w:val="0"/>
                <w:i w:val="0"/>
                <w:color w:val="000000"/>
                <w:sz w:val="20"/>
              </w:rPr>
              <w:t xml:space="preserve">2.55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80" w:type="dxa"/>
            <w:tcBorders/>
            <w:vAlign w:val="center"/>
          </w:tcPr>
          <w:p>
            <w:pPr>
              <w:jc w:val="right"/>
            </w:pPr>
            <w:r>
              <w:rPr>
                <w:rFonts w:ascii="宋体" w:eastAsia="宋体" w:hAnsi="宋体" w:cs="宋体"/>
                <w:b w:val="0"/>
                <w:i w:val="0"/>
                <w:color w:val="000000"/>
                <w:sz w:val="20"/>
              </w:rPr>
              <w:t xml:space="preserve">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65.69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6.22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22.98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12.91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8.58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6.14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5.53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2.70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2.62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3.84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68.39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6.22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005001盘锦市大洼区科学技术协会本级-211104000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55.77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9.84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用以推动我区科普工作的开展，提高全民科学素质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科技工作者满意度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当地群众满意度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服务振兴发展内部工作机制建立情况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005001盘锦市大洼区科学技术协会本级-211104000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69.11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55.291812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55.29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9.8368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2.38425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用以推动我区科普工作的开展，提高全民科学素质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已完成2023年度科普工作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科技工作者满意度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服务振兴发展内部工作机制建立情况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在专项管理方面，加强对专业性人才的培养，在资金分配方面严格遵守公平公正原则，合理分配资金，突出重点。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无意见合格审核通过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无意见合格审核通过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