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辽宁省盘锦市大洼区互联网舆情监测中心</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辽宁省盘锦市大洼区互联网舆情监测中心</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辽宁省盘锦市大洼区互联网舆情监测中心</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辽宁省盘锦市大洼区互联网舆情监测中心</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辽宁省盘锦市大洼区互联网舆情监测中心</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辽宁省盘锦市大洼区互联网舆情监测中心概况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（一）负责互联网涉洼舆情监测、分析、研判和舆情信息编辑、报送的服务保障工作；</w:t>
        <w:br/>
        <w:t xml:space="preserve">    （二）承担网络安全应急指挥的事务性工作；</w:t>
        <w:br/>
        <w:t xml:space="preserve">    （三）承担属地互联网违法和不良信息举报的事务性工作；</w:t>
        <w:br/>
        <w:t xml:space="preserve">    （四）负责网上宣传和舆论引导的事务性工作；</w:t>
        <w:br/>
        <w:t xml:space="preserve">    （五）负责网信技术体系及管网治网系统建设的技术支持和服务保障工作；</w:t>
        <w:br/>
        <w:t xml:space="preserve">    （六）承担为统筹全区信息化安全保障体系建设、统筹协调处理全区信息安全和网络安全重大事件提供服务保障等工作；</w:t>
        <w:br/>
        <w:t xml:space="preserve">    （七）负责网络安全和网上舆情防控等方面的基础研究与交流合作；</w:t>
        <w:br/>
        <w:t xml:space="preserve">    （八）承担区委宣传部交办的其他工作。</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辽宁省盘锦市大洼区互联网舆情监测中心</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盘锦市大洼区互联网舆情监测中心</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109.86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109.86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109.86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增加48.36万元，增长78.63%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本年度增加日常公用经费和人员经费</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109.86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109.86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工资福利支出106.80万元；商品和服务支出3.03万元；对个人和家庭的补助0.04万元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增加48.36万元，增长78.63%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本年度增加日常公用经费和人员经费</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无结转和结余</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109.86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109.86</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增加48.36万元，增长78.63%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本年度增加日常公用经费和人员经费</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106.15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128.49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2023年度一般公共预算财政拨款支出109.86万元。按支出功能分类科目分，包括：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1.一般公共服务支出79.98万元，具体包括：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（1）一般公共服务支出（类）宣传事务（款）事业运行（项）79.98万元,主要是人员工资等支出，完成年初预算的123.29%，决算数与年初预算数存在差异的主要原因是本年度增加日常公用经费和人员经费。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2.社会保障和就业支出16.43万元，具体包括：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11.75万元,主要是本单位工作人员缴纳的养老保险等支出，完成年初预算的125.67%，决算数与年初预算数存在差异的主要原因是保费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职业年金缴费支出（项）4.54万元,主要是本单位转出人员的职业年金等支出，完成年初预算的100%，决算数与年初预算数存在差异的主要原因是本单位转出1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其他社会保障和就业支出（款）其他社会保障和就业支出（项）0.14万元,主要是本单位工作人员缴纳的工伤保险支出等支出，完成年初预算的107.69%，决算数与年初预算数存在差异的主要原因是保费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3.卫生健康支出4.73万元，具体包括：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（1）卫生健康支出（类）行政事业单位医疗（款）事业单位医疗（项）4.67万元,主要是本单位人员缴纳的医疗保险支出等支出，完成年初预算的114.18%，决算数与年初预算数存在差异的主要原因是保费基数增加。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0.06万元,主要是本单位人员缴纳的高额医疗保险等支出，完成年初预算的120%，决算数与年初预算数存在差异的主要原因是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4.住房保障支出8.74万元，具体包括：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8.74万元,主要是本单位人员缴纳的住房公积金等支出，完成年初预算的124.68%，决算数与年初预算数存在差异的主要原因是本年度人员和保险基数增加。</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无因公出国</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无公务</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无公车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109.87</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106.84</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3.03</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节约运行成本0</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根据预算绩效管理要求，本部门组织对2023年度预算项目支出全面开展绩效自评，共涉及预算支出项目4个（其中：一般公共预算项目4个，政府性基金预算项目0个，国有资本经营预算项目0个），涉及资金85.5万元（其中：一般公共预算资金0万元，政府性基金预算资金0万元，国有资本经营预算资金0万元），自评覆盖率达到100%，自评平均分100分。</w:t>
        <w:br/>
        <w:t xml:space="preserve">    组织对单位开展整体绩效自评，涉及资金85.5万元，自评平均分100分。《部门（单位）整体绩效自评表》见附件。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16.社会保障和就业（类）行政事业单位养老支出（款）机关事业单位基本养老保险缴费支出（项）：反映机关事业单位实施养老保险制度由单位缴纳的基本养老保险费用的支出。</w:t>
        <w:br/>
        <w:t xml:space="preserve">    17.医疗卫生与计划生育（类）行政事业单位医疗（款）事业单位医疗（项）：反应财政部门集中安排的事业单位基本医疗保险缴费经费、未参加医疗保险的事业单位的公费医疗经费。</w:t>
        <w:br/>
        <w:t xml:space="preserve">    18.医疗卫生与计划生育（类）行政事业单位医疗（款）其他事业单位医疗支出（项）：反映除上述项目以外的其他用于事业单位医疗方面的支出。</w:t>
        <w:br/>
        <w:t xml:space="preserve">    19.住房保障支出（类）住房改革支出（款）住房公积金（项）：反映行政事业单位按人力资源与社会保障部、财政部规定的基本工资和津贴补贴以及规定比例为职工缴纳的住房公积金。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109.86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jc w:val="right"/>
            </w:pPr>
            <w:r>
              <w:rPr>
                <w:rFonts w:ascii="宋体" w:eastAsia="宋体" w:hAnsi="宋体" w:cs="宋体"/>
                <w:b w:val="0"/>
                <w:i w:val="0"/>
                <w:color w:val="000000"/>
                <w:sz w:val="18"/>
              </w:rPr>
              <w:t xml:space="preserve">79.98</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16.42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4.72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8.74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109.86</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109.86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109.86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109.86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109.86</w:t>
            </w:r>
          </w:p>
        </w:tc>
        <w:tc>
          <w:tcPr>
            <w:tcW w:w="1160" w:type="dxa"/>
            <w:tcBorders/>
            <w:vAlign w:val="center"/>
          </w:tcPr>
          <w:p>
            <w:pPr>
              <w:jc w:val="right"/>
            </w:pPr>
            <w:r>
              <w:rPr>
                <w:rFonts w:ascii="宋体" w:eastAsia="宋体" w:hAnsi="宋体" w:cs="宋体"/>
                <w:b/>
                <w:i w:val="0"/>
                <w:color w:val="000000"/>
                <w:sz w:val="14"/>
              </w:rPr>
              <w:t xml:space="preserve">109.86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一般公共服务支出</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宣传事务</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2013350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事业运行</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jc w:val="right"/>
            </w:pPr>
            <w:r>
              <w:rPr>
                <w:rFonts w:ascii="宋体" w:eastAsia="宋体" w:hAnsi="宋体" w:cs="宋体"/>
                <w:b w:val="0"/>
                <w:i w:val="0"/>
                <w:color w:val="000000"/>
                <w:sz w:val="14"/>
              </w:rPr>
              <w:t xml:space="preserve">79.98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16.43</w:t>
            </w:r>
          </w:p>
        </w:tc>
        <w:tc>
          <w:tcPr>
            <w:tcW w:w="1160" w:type="dxa"/>
            <w:tcBorders/>
            <w:vAlign w:val="center"/>
          </w:tcPr>
          <w:p>
            <w:pPr>
              <w:jc w:val="right"/>
            </w:pPr>
            <w:r>
              <w:rPr>
                <w:rFonts w:ascii="宋体" w:eastAsia="宋体" w:hAnsi="宋体" w:cs="宋体"/>
                <w:b w:val="0"/>
                <w:i w:val="0"/>
                <w:color w:val="000000"/>
                <w:sz w:val="14"/>
              </w:rPr>
              <w:t xml:space="preserve">16.43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16.29</w:t>
            </w:r>
          </w:p>
        </w:tc>
        <w:tc>
          <w:tcPr>
            <w:tcW w:w="1160" w:type="dxa"/>
            <w:tcBorders/>
            <w:vAlign w:val="center"/>
          </w:tcPr>
          <w:p>
            <w:pPr>
              <w:jc w:val="right"/>
            </w:pPr>
            <w:r>
              <w:rPr>
                <w:rFonts w:ascii="宋体" w:eastAsia="宋体" w:hAnsi="宋体" w:cs="宋体"/>
                <w:b w:val="0"/>
                <w:i w:val="0"/>
                <w:color w:val="000000"/>
                <w:sz w:val="14"/>
              </w:rPr>
              <w:t xml:space="preserve">16.29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11.75</w:t>
            </w:r>
          </w:p>
        </w:tc>
        <w:tc>
          <w:tcPr>
            <w:tcW w:w="1160" w:type="dxa"/>
            <w:tcBorders/>
            <w:vAlign w:val="center"/>
          </w:tcPr>
          <w:p>
            <w:pPr>
              <w:jc w:val="right"/>
            </w:pPr>
            <w:r>
              <w:rPr>
                <w:rFonts w:ascii="宋体" w:eastAsia="宋体" w:hAnsi="宋体" w:cs="宋体"/>
                <w:b w:val="0"/>
                <w:i w:val="0"/>
                <w:color w:val="000000"/>
                <w:sz w:val="14"/>
              </w:rPr>
              <w:t xml:space="preserve">11.75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jc w:val="right"/>
            </w:pPr>
            <w:r>
              <w:rPr>
                <w:rFonts w:ascii="宋体" w:eastAsia="宋体" w:hAnsi="宋体" w:cs="宋体"/>
                <w:b w:val="0"/>
                <w:i w:val="0"/>
                <w:color w:val="000000"/>
                <w:sz w:val="14"/>
              </w:rPr>
              <w:t xml:space="preserve">4.54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jc w:val="right"/>
            </w:pPr>
            <w:r>
              <w:rPr>
                <w:rFonts w:ascii="宋体" w:eastAsia="宋体" w:hAnsi="宋体" w:cs="宋体"/>
                <w:b w:val="0"/>
                <w:i w:val="0"/>
                <w:color w:val="000000"/>
                <w:sz w:val="14"/>
              </w:rPr>
              <w:t xml:space="preserve">0.14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jc w:val="right"/>
            </w:pPr>
            <w:r>
              <w:rPr>
                <w:rFonts w:ascii="宋体" w:eastAsia="宋体" w:hAnsi="宋体" w:cs="宋体"/>
                <w:b w:val="0"/>
                <w:i w:val="0"/>
                <w:color w:val="000000"/>
                <w:sz w:val="14"/>
              </w:rPr>
              <w:t xml:space="preserve">4.73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jc w:val="right"/>
            </w:pPr>
            <w:r>
              <w:rPr>
                <w:rFonts w:ascii="宋体" w:eastAsia="宋体" w:hAnsi="宋体" w:cs="宋体"/>
                <w:b w:val="0"/>
                <w:i w:val="0"/>
                <w:color w:val="000000"/>
                <w:sz w:val="14"/>
              </w:rPr>
              <w:t xml:space="preserve">4.67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jc w:val="right"/>
            </w:pPr>
            <w:r>
              <w:rPr>
                <w:rFonts w:ascii="宋体" w:eastAsia="宋体" w:hAnsi="宋体" w:cs="宋体"/>
                <w:b w:val="0"/>
                <w:i w:val="0"/>
                <w:color w:val="000000"/>
                <w:sz w:val="14"/>
              </w:rPr>
              <w:t xml:space="preserve">0.06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jc w:val="right"/>
            </w:pPr>
            <w:r>
              <w:rPr>
                <w:rFonts w:ascii="宋体" w:eastAsia="宋体" w:hAnsi="宋体" w:cs="宋体"/>
                <w:b w:val="0"/>
                <w:i w:val="0"/>
                <w:color w:val="000000"/>
                <w:sz w:val="14"/>
              </w:rPr>
              <w:t xml:space="preserve">8.74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109.86</w:t>
            </w:r>
          </w:p>
        </w:tc>
        <w:tc>
          <w:tcPr>
            <w:tcW w:w="1120" w:type="dxa"/>
            <w:tcBorders/>
            <w:vAlign w:val="center"/>
          </w:tcPr>
          <w:p>
            <w:pPr>
              <w:jc w:val="right"/>
            </w:pPr>
            <w:r>
              <w:rPr>
                <w:rFonts w:ascii="宋体" w:eastAsia="宋体" w:hAnsi="宋体" w:cs="宋体"/>
                <w:b/>
                <w:i w:val="0"/>
                <w:color w:val="000000"/>
                <w:sz w:val="16"/>
              </w:rPr>
              <w:t xml:space="preserve">109.86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一般公共服务支出</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宣传事务</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2013350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事业运行</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jc w:val="right"/>
            </w:pPr>
            <w:r>
              <w:rPr>
                <w:rFonts w:ascii="宋体" w:eastAsia="宋体" w:hAnsi="宋体" w:cs="宋体"/>
                <w:b w:val="0"/>
                <w:i w:val="0"/>
                <w:color w:val="000000"/>
                <w:sz w:val="16"/>
              </w:rPr>
              <w:t xml:space="preserve">79.98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16.43</w:t>
            </w:r>
          </w:p>
        </w:tc>
        <w:tc>
          <w:tcPr>
            <w:tcW w:w="1120" w:type="dxa"/>
            <w:tcBorders/>
            <w:vAlign w:val="center"/>
          </w:tcPr>
          <w:p>
            <w:pPr>
              <w:jc w:val="right"/>
            </w:pPr>
            <w:r>
              <w:rPr>
                <w:rFonts w:ascii="宋体" w:eastAsia="宋体" w:hAnsi="宋体" w:cs="宋体"/>
                <w:b w:val="0"/>
                <w:i w:val="0"/>
                <w:color w:val="000000"/>
                <w:sz w:val="16"/>
              </w:rPr>
              <w:t xml:space="preserve">16.43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16.29</w:t>
            </w:r>
          </w:p>
        </w:tc>
        <w:tc>
          <w:tcPr>
            <w:tcW w:w="1120" w:type="dxa"/>
            <w:tcBorders/>
            <w:vAlign w:val="center"/>
          </w:tcPr>
          <w:p>
            <w:pPr>
              <w:jc w:val="right"/>
            </w:pPr>
            <w:r>
              <w:rPr>
                <w:rFonts w:ascii="宋体" w:eastAsia="宋体" w:hAnsi="宋体" w:cs="宋体"/>
                <w:b w:val="0"/>
                <w:i w:val="0"/>
                <w:color w:val="000000"/>
                <w:sz w:val="16"/>
              </w:rPr>
              <w:t xml:space="preserve">16.29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11.75</w:t>
            </w:r>
          </w:p>
        </w:tc>
        <w:tc>
          <w:tcPr>
            <w:tcW w:w="1120" w:type="dxa"/>
            <w:tcBorders/>
            <w:vAlign w:val="center"/>
          </w:tcPr>
          <w:p>
            <w:pPr>
              <w:jc w:val="right"/>
            </w:pPr>
            <w:r>
              <w:rPr>
                <w:rFonts w:ascii="宋体" w:eastAsia="宋体" w:hAnsi="宋体" w:cs="宋体"/>
                <w:b w:val="0"/>
                <w:i w:val="0"/>
                <w:color w:val="000000"/>
                <w:sz w:val="16"/>
              </w:rPr>
              <w:t xml:space="preserve">11.75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jc w:val="right"/>
            </w:pPr>
            <w:r>
              <w:rPr>
                <w:rFonts w:ascii="宋体" w:eastAsia="宋体" w:hAnsi="宋体" w:cs="宋体"/>
                <w:b w:val="0"/>
                <w:i w:val="0"/>
                <w:color w:val="000000"/>
                <w:sz w:val="16"/>
              </w:rPr>
              <w:t xml:space="preserve">4.54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jc w:val="right"/>
            </w:pPr>
            <w:r>
              <w:rPr>
                <w:rFonts w:ascii="宋体" w:eastAsia="宋体" w:hAnsi="宋体" w:cs="宋体"/>
                <w:b w:val="0"/>
                <w:i w:val="0"/>
                <w:color w:val="000000"/>
                <w:sz w:val="16"/>
              </w:rPr>
              <w:t xml:space="preserve">0.14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jc w:val="right"/>
            </w:pPr>
            <w:r>
              <w:rPr>
                <w:rFonts w:ascii="宋体" w:eastAsia="宋体" w:hAnsi="宋体" w:cs="宋体"/>
                <w:b w:val="0"/>
                <w:i w:val="0"/>
                <w:color w:val="000000"/>
                <w:sz w:val="16"/>
              </w:rPr>
              <w:t xml:space="preserve">4.73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jc w:val="right"/>
            </w:pPr>
            <w:r>
              <w:rPr>
                <w:rFonts w:ascii="宋体" w:eastAsia="宋体" w:hAnsi="宋体" w:cs="宋体"/>
                <w:b w:val="0"/>
                <w:i w:val="0"/>
                <w:color w:val="000000"/>
                <w:sz w:val="16"/>
              </w:rPr>
              <w:t xml:space="preserve">4.67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jc w:val="right"/>
            </w:pPr>
            <w:r>
              <w:rPr>
                <w:rFonts w:ascii="宋体" w:eastAsia="宋体" w:hAnsi="宋体" w:cs="宋体"/>
                <w:b w:val="0"/>
                <w:i w:val="0"/>
                <w:color w:val="000000"/>
                <w:sz w:val="16"/>
              </w:rPr>
              <w:t xml:space="preserve">0.06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jc w:val="right"/>
            </w:pPr>
            <w:r>
              <w:rPr>
                <w:rFonts w:ascii="宋体" w:eastAsia="宋体" w:hAnsi="宋体" w:cs="宋体"/>
                <w:b w:val="0"/>
                <w:i w:val="0"/>
                <w:color w:val="000000"/>
                <w:sz w:val="16"/>
              </w:rPr>
              <w:t xml:space="preserve">8.74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jc w:val="right"/>
            </w:pPr>
            <w:r>
              <w:rPr>
                <w:rFonts w:ascii="宋体" w:eastAsia="宋体" w:hAnsi="宋体" w:cs="宋体"/>
                <w:b w:val="0"/>
                <w:i w:val="0"/>
                <w:color w:val="000000"/>
                <w:sz w:val="14"/>
              </w:rPr>
              <w:t xml:space="preserve">79.98</w:t>
            </w:r>
          </w:p>
        </w:tc>
        <w:tc>
          <w:tcPr>
            <w:tcW w:w="1100" w:type="dxa"/>
            <w:tcBorders/>
            <w:vAlign w:val="center"/>
          </w:tcPr>
          <w:p>
            <w:pPr>
              <w:jc w:val="right"/>
            </w:pPr>
            <w:r>
              <w:rPr>
                <w:rFonts w:ascii="宋体" w:eastAsia="宋体" w:hAnsi="宋体" w:cs="宋体"/>
                <w:b w:val="0"/>
                <w:i w:val="0"/>
                <w:color w:val="000000"/>
                <w:sz w:val="14"/>
              </w:rPr>
              <w:t xml:space="preserve">79.98</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16.42</w:t>
            </w:r>
          </w:p>
        </w:tc>
        <w:tc>
          <w:tcPr>
            <w:tcW w:w="1100" w:type="dxa"/>
            <w:tcBorders/>
            <w:vAlign w:val="center"/>
          </w:tcPr>
          <w:p>
            <w:pPr>
              <w:jc w:val="right"/>
            </w:pPr>
            <w:r>
              <w:rPr>
                <w:rFonts w:ascii="宋体" w:eastAsia="宋体" w:hAnsi="宋体" w:cs="宋体"/>
                <w:b w:val="0"/>
                <w:i w:val="0"/>
                <w:color w:val="000000"/>
                <w:sz w:val="14"/>
              </w:rPr>
              <w:t xml:space="preserve">16.42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4.72</w:t>
            </w:r>
          </w:p>
        </w:tc>
        <w:tc>
          <w:tcPr>
            <w:tcW w:w="1100" w:type="dxa"/>
            <w:tcBorders/>
            <w:vAlign w:val="center"/>
          </w:tcPr>
          <w:p>
            <w:pPr>
              <w:jc w:val="right"/>
            </w:pPr>
            <w:r>
              <w:rPr>
                <w:rFonts w:ascii="宋体" w:eastAsia="宋体" w:hAnsi="宋体" w:cs="宋体"/>
                <w:b w:val="0"/>
                <w:i w:val="0"/>
                <w:color w:val="000000"/>
                <w:sz w:val="14"/>
              </w:rPr>
              <w:t xml:space="preserve">4.72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8.74</w:t>
            </w:r>
          </w:p>
        </w:tc>
        <w:tc>
          <w:tcPr>
            <w:tcW w:w="1100" w:type="dxa"/>
            <w:tcBorders/>
            <w:vAlign w:val="center"/>
          </w:tcPr>
          <w:p>
            <w:pPr>
              <w:jc w:val="right"/>
            </w:pPr>
            <w:r>
              <w:rPr>
                <w:rFonts w:ascii="宋体" w:eastAsia="宋体" w:hAnsi="宋体" w:cs="宋体"/>
                <w:b w:val="0"/>
                <w:i w:val="0"/>
                <w:color w:val="000000"/>
                <w:sz w:val="14"/>
              </w:rPr>
              <w:t xml:space="preserve">8.74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1100" w:type="dxa"/>
            <w:tcBorders/>
            <w:vAlign w:val="center"/>
          </w:tcPr>
          <w:p>
            <w:pPr>
              <w:jc w:val="right"/>
            </w:pPr>
            <w:r>
              <w:rPr>
                <w:rFonts w:ascii="宋体" w:eastAsia="宋体" w:hAnsi="宋体" w:cs="宋体"/>
                <w:b w:val="0"/>
                <w:i w:val="0"/>
                <w:color w:val="000000"/>
                <w:sz w:val="14"/>
              </w:rPr>
              <w:t xml:space="preserve">109.86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109.86</w:t>
            </w:r>
          </w:p>
        </w:tc>
        <w:tc>
          <w:tcPr>
            <w:tcW w:w="1980" w:type="dxa"/>
            <w:tcBorders/>
            <w:vAlign w:val="center"/>
          </w:tcPr>
          <w:p>
            <w:pPr>
              <w:jc w:val="right"/>
            </w:pPr>
            <w:r>
              <w:rPr>
                <w:rFonts w:ascii="宋体" w:eastAsia="宋体" w:hAnsi="宋体" w:cs="宋体"/>
                <w:b/>
                <w:i w:val="0"/>
                <w:color w:val="000000"/>
                <w:sz w:val="20"/>
              </w:rPr>
              <w:t xml:space="preserve">109.86</w:t>
            </w:r>
          </w:p>
        </w:tc>
        <w:tc>
          <w:tcPr>
            <w:tcW w:w="1952" w:type="dxa"/>
            <w:tcBorders/>
            <w:vAlign w:val="center"/>
          </w:tcPr>
          <w:p>
            <w:pPr>
              <w:jc w:val="right"/>
            </w:pPr>
            <w:r>
              <w:rPr>
                <w:rFonts w:ascii="宋体" w:eastAsia="宋体" w:hAnsi="宋体" w:cs="宋体"/>
                <w:b/>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一般公共服务支出</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宣传事务</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2013350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事业运行</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80" w:type="dxa"/>
            <w:tcBorders/>
            <w:vAlign w:val="center"/>
          </w:tcPr>
          <w:p>
            <w:pPr>
              <w:jc w:val="right"/>
            </w:pPr>
            <w:r>
              <w:rPr>
                <w:rFonts w:ascii="宋体" w:eastAsia="宋体" w:hAnsi="宋体" w:cs="宋体"/>
                <w:b w:val="0"/>
                <w:i w:val="0"/>
                <w:color w:val="000000"/>
                <w:sz w:val="20"/>
              </w:rPr>
              <w:t xml:space="preserve">79.98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16.43</w:t>
            </w:r>
          </w:p>
        </w:tc>
        <w:tc>
          <w:tcPr>
            <w:tcW w:w="1980" w:type="dxa"/>
            <w:tcBorders/>
            <w:vAlign w:val="center"/>
          </w:tcPr>
          <w:p>
            <w:pPr>
              <w:jc w:val="right"/>
            </w:pPr>
            <w:r>
              <w:rPr>
                <w:rFonts w:ascii="宋体" w:eastAsia="宋体" w:hAnsi="宋体" w:cs="宋体"/>
                <w:b w:val="0"/>
                <w:i w:val="0"/>
                <w:color w:val="000000"/>
                <w:sz w:val="20"/>
              </w:rPr>
              <w:t xml:space="preserve">16.43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16.29</w:t>
            </w:r>
          </w:p>
        </w:tc>
        <w:tc>
          <w:tcPr>
            <w:tcW w:w="1980" w:type="dxa"/>
            <w:tcBorders/>
            <w:vAlign w:val="center"/>
          </w:tcPr>
          <w:p>
            <w:pPr>
              <w:jc w:val="right"/>
            </w:pPr>
            <w:r>
              <w:rPr>
                <w:rFonts w:ascii="宋体" w:eastAsia="宋体" w:hAnsi="宋体" w:cs="宋体"/>
                <w:b w:val="0"/>
                <w:i w:val="0"/>
                <w:color w:val="000000"/>
                <w:sz w:val="20"/>
              </w:rPr>
              <w:t xml:space="preserve">16.29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11.75</w:t>
            </w:r>
          </w:p>
        </w:tc>
        <w:tc>
          <w:tcPr>
            <w:tcW w:w="1980" w:type="dxa"/>
            <w:tcBorders/>
            <w:vAlign w:val="center"/>
          </w:tcPr>
          <w:p>
            <w:pPr>
              <w:jc w:val="right"/>
            </w:pPr>
            <w:r>
              <w:rPr>
                <w:rFonts w:ascii="宋体" w:eastAsia="宋体" w:hAnsi="宋体" w:cs="宋体"/>
                <w:b w:val="0"/>
                <w:i w:val="0"/>
                <w:color w:val="000000"/>
                <w:sz w:val="20"/>
              </w:rPr>
              <w:t xml:space="preserve">11.75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80" w:type="dxa"/>
            <w:tcBorders/>
            <w:vAlign w:val="center"/>
          </w:tcPr>
          <w:p>
            <w:pPr>
              <w:jc w:val="right"/>
            </w:pPr>
            <w:r>
              <w:rPr>
                <w:rFonts w:ascii="宋体" w:eastAsia="宋体" w:hAnsi="宋体" w:cs="宋体"/>
                <w:b w:val="0"/>
                <w:i w:val="0"/>
                <w:color w:val="000000"/>
                <w:sz w:val="20"/>
              </w:rPr>
              <w:t xml:space="preserve">4.54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80" w:type="dxa"/>
            <w:tcBorders/>
            <w:vAlign w:val="center"/>
          </w:tcPr>
          <w:p>
            <w:pPr>
              <w:jc w:val="right"/>
            </w:pPr>
            <w:r>
              <w:rPr>
                <w:rFonts w:ascii="宋体" w:eastAsia="宋体" w:hAnsi="宋体" w:cs="宋体"/>
                <w:b w:val="0"/>
                <w:i w:val="0"/>
                <w:color w:val="000000"/>
                <w:sz w:val="20"/>
              </w:rPr>
              <w:t xml:space="preserve">0.14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80" w:type="dxa"/>
            <w:tcBorders/>
            <w:vAlign w:val="center"/>
          </w:tcPr>
          <w:p>
            <w:pPr>
              <w:jc w:val="right"/>
            </w:pPr>
            <w:r>
              <w:rPr>
                <w:rFonts w:ascii="宋体" w:eastAsia="宋体" w:hAnsi="宋体" w:cs="宋体"/>
                <w:b w:val="0"/>
                <w:i w:val="0"/>
                <w:color w:val="000000"/>
                <w:sz w:val="20"/>
              </w:rPr>
              <w:t xml:space="preserve">4.73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80" w:type="dxa"/>
            <w:tcBorders/>
            <w:vAlign w:val="center"/>
          </w:tcPr>
          <w:p>
            <w:pPr>
              <w:jc w:val="right"/>
            </w:pPr>
            <w:r>
              <w:rPr>
                <w:rFonts w:ascii="宋体" w:eastAsia="宋体" w:hAnsi="宋体" w:cs="宋体"/>
                <w:b w:val="0"/>
                <w:i w:val="0"/>
                <w:color w:val="000000"/>
                <w:sz w:val="20"/>
              </w:rPr>
              <w:t xml:space="preserve">4.67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80" w:type="dxa"/>
            <w:tcBorders/>
            <w:vAlign w:val="center"/>
          </w:tcPr>
          <w:p>
            <w:pPr>
              <w:jc w:val="right"/>
            </w:pPr>
            <w:r>
              <w:rPr>
                <w:rFonts w:ascii="宋体" w:eastAsia="宋体" w:hAnsi="宋体" w:cs="宋体"/>
                <w:b w:val="0"/>
                <w:i w:val="0"/>
                <w:color w:val="000000"/>
                <w:sz w:val="20"/>
              </w:rPr>
              <w:t xml:space="preserve">0.06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80" w:type="dxa"/>
            <w:tcBorders/>
            <w:vAlign w:val="center"/>
          </w:tcPr>
          <w:p>
            <w:pPr>
              <w:jc w:val="right"/>
            </w:pPr>
            <w:r>
              <w:rPr>
                <w:rFonts w:ascii="宋体" w:eastAsia="宋体" w:hAnsi="宋体" w:cs="宋体"/>
                <w:b w:val="0"/>
                <w:i w:val="0"/>
                <w:color w:val="000000"/>
                <w:sz w:val="20"/>
              </w:rPr>
              <w:t xml:space="preserve">8.74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106.80</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3.03</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42.08</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1.37</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26.29</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jc w:val="right"/>
            </w:pPr>
            <w:r>
              <w:rPr>
                <w:rFonts w:ascii="宋体" w:eastAsia="宋体" w:hAnsi="宋体" w:cs="宋体"/>
                <w:b w:val="0"/>
                <w:i w:val="0"/>
                <w:color w:val="000000"/>
                <w:sz w:val="14"/>
              </w:rPr>
              <w:t xml:space="preserve">0.30</w:t>
            </w: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8.55</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11.75</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4.54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4.67</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0.17</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8.74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1.18</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0.04</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106.84</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3.03</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单位：辽宁省盘锦市大洼区互联网舆情监测中心</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003002盘锦市大洼区互联网舆情监测中心-211104000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85.5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76.260931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76.26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2.3774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2.37</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0.036</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0.03</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积极打造宣传阵地，加强思想文化宣传力度，营造良好社会舆情。</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完成</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536"/>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政治效益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主题宣传、重点工作宣传量</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社会效益</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不出现负面报道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负面报道</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建立预算绩效管理机制</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绩效管理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进一步加强软件系统的稳定性、功能性和操作性，更加方便快捷的保用和操作软件系统，完成各项工作任务。</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网络安全监测处置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盘锦市大洼区互联网舆情监测中心-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加强网络负面舆情监管及正确网络安全传播引导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网络宣传报道区域覆盖率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通报网络安全风险和事件数量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保证网络和信息安全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保障正常网络运行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保证网络系统正常运行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报送网络舆情时间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网络安全现场检查平均成本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宽带网络覆盖增长率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提高单位信息化网络安全指标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网络安全检查应急工作满程度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网络传播引导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盘锦市大洼区互联网舆情监测中心-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2</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加强网络负面舆情监管及正确网络安全传播引导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完成年度舆情监测任务数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舆情监测时长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365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网络系统运行故障率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报送网络舆情时间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网络故障排除及时率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印制宣传用品费用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0.5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纸媒宣传报道正确引导舆论导向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引导导向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纸媒宣传报道突发事件处置率（%）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p>
      <w:pPr>
        <w:sectPr>
          <w:pgSz w:w="16839" w:h="11907" w:orient="landscape"/>
          <w:pgMar w:top="400" w:right="1000" w:bottom="400" w:left="1000" w:header="720" w:footer="720" w:gutter="0"/>
        </w:sectPr>
      </w:pPr>
    </w:p>
    <w:tbl>
      <w:tblPr>
        <w:tblW w:w="0" w:type="auto"/>
        <w:jc w:val="center"/>
        <w:tblLayout w:type="fixed"/>
        <w:tblCellMar>
          <w:left w:w="20" w:type="dxa"/>
          <w:right w:w="20" w:type="dxa"/>
        </w:tblCellMar>
        <w:tblLook w:firstRow="0" w:lastRow="0" w:firstColumn="0" w:lastColumn="0" w:noHBand="1"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trPr>
          <w:trHeight w:hRule="exact" w:val="794"/>
          <w:jc w:val="center"/>
        </w:trPr>
        <w:tc>
          <w:tcPr>
            <w:tcW w:w="1484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0"/>
              </w:rPr>
              <w:t xml:space="preserve">预算项目(政策)绩效自评表</w:t>
            </w:r>
          </w:p>
          <w:p>
            <w:pPr>
              <w:snapToGrid w:val="0"/>
              <w:spacing w:before="0" w:beforeAutospacing="0" w:after="0" w:afterAutospacing="0" w:line="240" w:lineRule="auto"/>
              <w:jc w:val="center"/>
              <w:rPr/>
            </w:pPr>
            <w:r>
              <w:rPr>
                <w:rFonts w:ascii="宋体" w:eastAsia="宋体" w:hAnsi="宋体" w:cs="宋体"/>
                <w:b/>
                <w:i w:val="0"/>
                <w:color w:val="000000"/>
                <w:sz w:val="30"/>
              </w:rPr>
              <w:t xml:space="preserve">(2023年度)</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项目(政策)名称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舆情监测平台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中共盘锦市大洼区委宣传部-</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实施单位</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盘锦市大洼区互联网舆情监测中心-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项目预算金额（万元）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全年执行数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95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执行率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0.0%</w:t>
            </w: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年度总体目标</w:t>
            </w: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年初设定目标</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全年实际完成情况</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8100"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加强网络负面舆情监管及正确网络安全传播引导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73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未完成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三级指标</w:t>
            </w:r>
          </w:p>
        </w:tc>
        <w:tc>
          <w:tcPr>
            <w:tcW w:w="249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年度目标值</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全年</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得分</w:t>
            </w:r>
          </w:p>
        </w:tc>
        <w:tc>
          <w:tcPr>
            <w:tcW w:w="400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未完成原因分析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改进措施</w:t>
            </w: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运算</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度量</w:t>
            </w:r>
          </w:p>
          <w:p>
            <w:pPr>
              <w:snapToGrid w:val="0"/>
              <w:spacing w:before="0" w:beforeAutospacing="0" w:after="0" w:afterAutospacing="0" w:line="240" w:lineRule="auto"/>
              <w:jc w:val="center"/>
              <w:rPr/>
            </w:pPr>
            <w:r>
              <w:rPr>
                <w:rFonts w:ascii="宋体" w:eastAsia="宋体" w:hAnsi="宋体" w:cs="宋体"/>
                <w:b/>
                <w:i w:val="0"/>
                <w:color w:val="000000"/>
                <w:sz w:val="19"/>
              </w:rPr>
              <w:t xml:space="preserve">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完成年度舆情监测任务数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舆情监测时长</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完成年度舆情监测任务数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年度舆情监测工作完成率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报送网络舆情时间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小时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舆情监测报告按时完成率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宣传成本</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宣传活动用品购置支出</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6.2</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经济效益指标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网络宣传报道订阅用户增长率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7</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重大负面舆情和事件次数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生态效益指标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节能环保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媒体宣传次数增长率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纸媒宣传报道公众（读者）满意度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地方宣传部门满意度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6.6</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指标自评得分小计</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3311"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90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21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预算执行率得分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099"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减分项</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r>
              <w:rPr>
                <w:rFonts w:ascii="宋体" w:eastAsia="宋体" w:hAnsi="宋体" w:cs="宋体"/>
                <w:b w:val="0"/>
                <w:i w:val="0"/>
                <w:color w:val="000000"/>
                <w:sz w:val="19"/>
              </w:rPr>
              <w:t xml:space="preserve">31</w:t>
            </w:r>
          </w:p>
        </w:tc>
        <w:tc>
          <w:tcPr>
            <w:tcW w:w="222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绩效自评总得分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19"/>
              </w:rPr>
              <w:t xml:space="preserve">59</w:t>
            </w: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0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具体建议内容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改进预算项目管理（改进措施和方式）</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完善制度设计，建议进行政策调整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政策到期，建议重新发布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不再继续安排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减少或取消安排</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907"/>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结构调整，压低效补高效</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预算一次核定、资金分年度拨付</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w:t>
            </w: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val="0"/>
                <w:i w:val="0"/>
                <w:color w:val="000000"/>
                <w:sz w:val="19"/>
              </w:rPr>
              <w:t xml:space="preserve">进一步加强软件系统的稳定性和操作性、功能性，希望能够更加方便快捷的使用软件系统。</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改进预算项目管理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规范财政资金管理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进行政策调整</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政策到期重新发布</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调整公共服务标准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11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19"/>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14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r>
        <w:trPr>
          <w:trHeight w:hRule="exact" w:val="269"/>
          <w:jc w:val="center"/>
        </w:trPr>
        <w:tc>
          <w:tcPr>
            <w:tcW w:w="2986"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19"/>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1854"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