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A92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FF0000"/>
          <w:spacing w:val="-17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pacing w:val="-17"/>
          <w:kern w:val="0"/>
          <w:sz w:val="40"/>
          <w:szCs w:val="40"/>
          <w:shd w:val="clear" w:color="auto" w:fill="FFFFFF"/>
          <w:lang w:val="en-US" w:eastAsia="zh-CN"/>
        </w:rPr>
        <w:t>关于盘锦迅翔驰环保有限公司8万吨/年油泥综合利用技术改造项目环境影响报告书的批复</w:t>
      </w:r>
    </w:p>
    <w:p w14:paraId="396814E1">
      <w:pPr>
        <w:pStyle w:val="6"/>
        <w:rPr>
          <w:rFonts w:ascii="楷体_GB2312" w:eastAsia="楷体_GB2312"/>
          <w:b w:val="0"/>
        </w:rPr>
      </w:pPr>
      <w:r>
        <w:rPr>
          <w:rFonts w:hint="eastAsia" w:ascii="仿宋_GB2312" w:eastAsia="仿宋_GB2312"/>
          <w:b w:val="0"/>
        </w:rPr>
        <w:t>盘环审〔202</w:t>
      </w:r>
      <w:r>
        <w:rPr>
          <w:rFonts w:hint="eastAsia" w:ascii="仿宋_GB2312" w:eastAsia="仿宋_GB2312"/>
          <w:b w:val="0"/>
          <w:lang w:val="en-US" w:eastAsia="zh-CN"/>
        </w:rPr>
        <w:t>4</w:t>
      </w:r>
      <w:r>
        <w:rPr>
          <w:rFonts w:hint="eastAsia" w:ascii="仿宋_GB2312" w:eastAsia="仿宋_GB2312"/>
          <w:b w:val="0"/>
        </w:rPr>
        <w:t>〕</w:t>
      </w:r>
      <w:r>
        <w:rPr>
          <w:rFonts w:hint="eastAsia" w:ascii="仿宋_GB2312" w:eastAsia="仿宋_GB2312"/>
          <w:b w:val="0"/>
          <w:lang w:val="en-US" w:eastAsia="zh-CN"/>
        </w:rPr>
        <w:t>13</w:t>
      </w:r>
      <w:r>
        <w:rPr>
          <w:rFonts w:hint="eastAsia" w:ascii="仿宋_GB2312" w:eastAsia="仿宋_GB2312"/>
          <w:b w:val="0"/>
        </w:rPr>
        <w:t>号</w:t>
      </w:r>
    </w:p>
    <w:p w14:paraId="1D5435A2">
      <w:pPr>
        <w:pStyle w:val="4"/>
        <w:rPr>
          <w:rFonts w:hint="eastAsia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46990</wp:posOffset>
                </wp:positionV>
                <wp:extent cx="5659755" cy="762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2025" y="3455670"/>
                          <a:ext cx="5659755" cy="762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0.8pt;margin-top:3.7pt;height:0.6pt;width:445.65pt;z-index:251659264;mso-width-relative:page;mso-height-relative:page;" filled="f" stroked="t" coordsize="21600,21600" o:gfxdata="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eKJM9YAAAAGAQAADwAAAAAAAAABACAAAAAiAAAAZHJzL2Rvd25yZXYueG1sUEsB&#10;AhQAFAAAAAgAh07iQAtd01H3AQAA6gMAAA4AAAAAAAAAAQAgAAAAJQ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623A206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zh-CN" w:eastAsia="zh-CN"/>
        </w:rPr>
        <w:t>盘锦迅翔驰环保有限公司：</w:t>
      </w:r>
    </w:p>
    <w:p w14:paraId="74D9CC3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你公司上报的《盘锦迅翔驰环保有限公司8万吨/年油泥综合利用技术改造项目环境影响报告书》（以下简称“报告书”）收悉，组织专家技术评估审核后，经局务会研究通过，批复如下：</w:t>
      </w:r>
    </w:p>
    <w:p w14:paraId="2AD0AD5B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一、盘锦迅翔驰环保有限公司位于盘锦市再生资源产业园，危险废物综合处理能力为20万吨/年，危废处理类别包括HW06废有机溶剂、HW08废矿物油等6大类、58小类，目前危险废物经预处理、干化、焚烧处置。为提高危险废物减量化与资源化利用率，减少焚烧残渣量，公司拟投资600万元对8万吨HW08类油泥处理工艺进行技术改造，建设板框压滤机、热脱附设备及配套设施，技改后企业危险废物处理规模不发生变化，其余12万吨危险废物处理工艺保持不变。</w:t>
      </w:r>
    </w:p>
    <w:p w14:paraId="686C148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盘山县工业和信息化局出具了关于本项目备案证明（盘县经投字[2023]4号），在全面落实“报告书”提出的各项污染防治及风险防范措施后，项目产生的不利环境影响可以得到有效缓解和控制。从环保角度分析，我局原则同意你公司“报告书”中所列建设项目的地点、性质、规模、生产工艺和采取的环境保护措施。</w:t>
      </w:r>
    </w:p>
    <w:p w14:paraId="323E51E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二、项目建设与运行管理中应重点做好以下工作：</w:t>
      </w:r>
    </w:p>
    <w:p w14:paraId="7FBF2AD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（一）严格落实大气污染防治措施。热脱附装置产生不凝气主要污染物为非甲烷总烃，经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水封除尘、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冷凝回收后进热脱附加热炉为燃料，热脱附加热炉采用天然气为燃料，废气采取“SNCR脱硝+碱液脱硫+除湿塔+活性炭吸附”处理后经15m高排气筒排放，颗粒物、SO</w:t>
      </w:r>
      <w:r>
        <w:rPr>
          <w:rFonts w:hint="eastAsia" w:ascii="仿宋" w:hAnsi="仿宋" w:eastAsia="仿宋" w:cs="仿宋"/>
          <w:kern w:val="0"/>
          <w:sz w:val="30"/>
          <w:szCs w:val="30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、NO</w:t>
      </w:r>
      <w:r>
        <w:rPr>
          <w:rFonts w:hint="eastAsia" w:ascii="仿宋" w:hAnsi="仿宋" w:eastAsia="仿宋" w:cs="仿宋"/>
          <w:kern w:val="0"/>
          <w:sz w:val="30"/>
          <w:szCs w:val="30"/>
          <w:vertAlign w:val="subscript"/>
          <w:lang w:val="en-US" w:eastAsia="zh-CN"/>
        </w:rPr>
        <w:t>X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、NMHC排放执行《石油化学工业污染物排放标准》（GB31571-2015）表4大气污染物特别排放限值中工艺加热炉排放限值；装卸区和回收油罐区采用一套油气回收装置，采用冷凝、活性炭吸附法处理后经一根15高排气筒排放，NMHC排放执行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《大气污染物综合排放标准》（</w:t>
      </w:r>
      <w:bookmarkStart w:id="0" w:name="_GoBack"/>
      <w:bookmarkEnd w:id="0"/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GB16297-1996）表 2 排放限值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；现有干化工序废气处理措施由“旋风除尘+喷淋塔+UV 光解”改为“旋风除尘+喷淋塔+活性炭吸附”处理工艺，废气处理后经一根15高排气筒排放，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颗粒物、SO</w:t>
      </w:r>
      <w:r>
        <w:rPr>
          <w:rFonts w:hint="default" w:ascii="仿宋" w:hAnsi="仿宋" w:eastAsia="仿宋" w:cs="仿宋"/>
          <w:kern w:val="0"/>
          <w:sz w:val="30"/>
          <w:szCs w:val="30"/>
          <w:vertAlign w:val="subscript"/>
          <w:lang w:val="en-US" w:eastAsia="zh-CN"/>
        </w:rPr>
        <w:t>2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、NO</w:t>
      </w:r>
      <w:r>
        <w:rPr>
          <w:rFonts w:hint="default" w:ascii="仿宋" w:hAnsi="仿宋" w:eastAsia="仿宋" w:cs="仿宋"/>
          <w:kern w:val="0"/>
          <w:sz w:val="30"/>
          <w:szCs w:val="30"/>
          <w:vertAlign w:val="subscript"/>
          <w:lang w:val="en-US" w:eastAsia="zh-CN"/>
        </w:rPr>
        <w:t>X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、NMHC执行《大气污染物综合排放标准》（GB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16297-1996）表 2 排放限值。</w:t>
      </w:r>
    </w:p>
    <w:p w14:paraId="3B98046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油泥池周转池、油泥预处理车间、热脱附车间、压滤车间、污水处理系统均进行封闭，产生的恶臭气体及NMHC微负压收集经喷淋预处理后进焚烧炉二燃室焚烧处理。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厂界无组织NMHC执行《石油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化学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工业污染物排放标准》（GB3157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-2015）表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5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企业边界大气污染物浓度限值。</w:t>
      </w:r>
    </w:p>
    <w:p w14:paraId="0302E231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（二）强化水污染防治措施。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项目废水处理依托厂区现有污水处理站，采用“沉淀+过滤+生物接触氧化+气浮+水解酸化+消毒”处理工艺，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处理规模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800m</w:t>
      </w:r>
      <w:r>
        <w:rPr>
          <w:rFonts w:hint="default" w:ascii="仿宋" w:hAnsi="仿宋" w:eastAsia="仿宋" w:cs="仿宋"/>
          <w:kern w:val="0"/>
          <w:sz w:val="30"/>
          <w:szCs w:val="30"/>
          <w:vertAlign w:val="superscript"/>
          <w:lang w:val="en-US" w:eastAsia="zh-CN"/>
        </w:rPr>
        <w:t>3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/d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，废水排放从严执行《石油化学工业污染物排放标准》（GB31571-2015）中的表 2 限值标准和《辽宁省污水综合排放标准》（DB 21/1627-2008）中的表 2 限值标准。</w:t>
      </w:r>
    </w:p>
    <w:p w14:paraId="5070742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三）落实地下水保护措施。按“报告书”确定的地下水重点污染防治区、一般污染防治区进行分区防渗处理，设置地下水监控井，制定地下水和土壤监测计划，防止污染地下水和土壤。你公司应留存与防渗相关设计、施工等图纸文本、影像等资料以备查。</w:t>
      </w:r>
    </w:p>
    <w:p w14:paraId="3EEA4D5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（四）加强噪声污染防治措施。选用低噪声设备并合理布局，对高噪声源采取隔声、减振等措施，厂界噪声执行《工业企业厂界环境噪声排放标准》（GB12348-2008）中3类标准。</w:t>
      </w:r>
    </w:p>
    <w:p w14:paraId="5C9019E2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五）加强固体废物处置与管理。项目技改后增加废渣土、废机油、废活性炭、废滤布等固体废物，其中废渣土进行危险废物鉴定，根据鉴定结果确定渣土处置去向，鉴定前渣土按照危险废物进行管理，暂存于密闭渣土库。废机油、废活性炭、废滤布属于危险废物，废活性炭及废滤布</w:t>
      </w:r>
      <w:r>
        <w:rPr>
          <w:rFonts w:hint="default" w:ascii="仿宋" w:hAnsi="仿宋" w:eastAsia="仿宋" w:cs="仿宋"/>
          <w:kern w:val="0"/>
          <w:sz w:val="30"/>
          <w:szCs w:val="30"/>
          <w:lang w:val="en-US" w:eastAsia="zh-CN"/>
        </w:rPr>
        <w:t>送入厂区焚烧系统处置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，废机油由厂区内综合利用。</w:t>
      </w:r>
    </w:p>
    <w:p w14:paraId="07197F0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六）严格落实“报告书”提出的各项环境风险防范措施。建立三级防控体系，生产装置设置围堰、回收油储罐设置防火堤，按照“企业自救、属地自主、分级响应、区域联动”原则，修订全厂突发环境事件应急预案，并实现与相关管理部门和所在区域突发环境事件应急预案有效衔接。</w:t>
      </w:r>
    </w:p>
    <w:p w14:paraId="3F80AF9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企业应做好环保设施运行和维护，严格落实环保设施安全生产工作要求，健全企业内部污染防治设施稳定运行和管理责任制度，委托有相应资质的设计单位对重点环保设施进行设计，并定期做好环保设备设施安全风险辨识评估和隐患排查治理。</w:t>
      </w:r>
    </w:p>
    <w:p w14:paraId="19E592C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（七）按照国家和地方有关规定设置规范的污染物排放口、采样孔口和采样监测平台，并设立标志牌。严格落实“报告书”提出的环境管理及监测计划。</w:t>
      </w:r>
    </w:p>
    <w:p w14:paraId="774E64BC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（八）定期发布企业环境信息，并主动接受社会监督。在工程施工和运营过程中，应建立畅通的公众参与平台，及时解决公众担忧的环境问题，满足公众合理的环境诉求。</w:t>
      </w:r>
    </w:p>
    <w:p w14:paraId="2C03746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三、你公司应按《排污许可管理条例》规定，依法持证排污，取得排污许可证前，不得投产运行。</w:t>
      </w:r>
    </w:p>
    <w:p w14:paraId="6029DED2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四、按照国家有关污染物排放总量控制要求，你公司落实污染物总量确认书中各污染物总量控制指标，落实污染物削减指标。</w:t>
      </w:r>
    </w:p>
    <w:p w14:paraId="6E42394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五、项目建设必须严格执行环境保护设施与主体工程同时设计、同时施工、同时投产使用的环境保护“三同时”制度。项目竣工后按照规定程序完成竣工环境保护验收。经验收合格后，项目方可正式投入生产。</w:t>
      </w:r>
    </w:p>
    <w:p w14:paraId="3B6BF3D7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六、环境影响报告书经批准后，项目的性质、规模、地点、工艺或者防治污染、环境风险防范等措施发生重大变动的，应当重新报批该项目的环境影响报告书。自环境影响报告书批复文件批准之日起，如超过5年开工建设，环境影响报告书应报我局重新审核。</w:t>
      </w:r>
    </w:p>
    <w:p w14:paraId="57D04458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七、盘山生态环境分局负责项目建设及运行期的环境管理工作，你公司按规定接受各级环境保护行政主管部门的日常监督检查。</w:t>
      </w:r>
    </w:p>
    <w:p w14:paraId="71C4B655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5100" w:firstLineChars="17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 w14:paraId="6078CF54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5100" w:firstLineChars="17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</w:p>
    <w:p w14:paraId="523908BE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5100" w:firstLineChars="17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盘锦市生态环境局</w:t>
      </w:r>
    </w:p>
    <w:p w14:paraId="15C2D6C0"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                           2024年8月8日</w:t>
      </w:r>
    </w:p>
    <w:tbl>
      <w:tblPr>
        <w:tblStyle w:val="7"/>
        <w:tblpPr w:leftFromText="180" w:rightFromText="180" w:vertAnchor="text" w:horzAnchor="page" w:tblpX="1662" w:tblpY="88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F835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4A2FEE01">
            <w:pPr>
              <w:spacing w:line="50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抄送：盘山生态环境分局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市生态环境局机关各科室、市生态环境保护服务中心、市生态环境保护综合行政执法队</w:t>
            </w:r>
          </w:p>
        </w:tc>
      </w:tr>
      <w:tr w14:paraId="7BB9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71CDB41">
            <w:pPr>
              <w:spacing w:line="360" w:lineRule="auto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盘锦市生态环境局办公室                   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 w14:paraId="7490AA37"/>
    <w:p w14:paraId="2C4FC9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VjMWMxZTI0MWQ1ZDg4OGRkNGQzNjgyMzkxOTIifQ=="/>
  </w:docVars>
  <w:rsids>
    <w:rsidRoot w:val="75B4476C"/>
    <w:rsid w:val="3E84149D"/>
    <w:rsid w:val="59251A18"/>
    <w:rsid w:val="75B4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00" w:lineRule="exact"/>
      <w:ind w:firstLine="480"/>
    </w:pPr>
    <w:rPr>
      <w:sz w:val="24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样式5"/>
    <w:basedOn w:val="3"/>
    <w:autoRedefine/>
    <w:qFormat/>
    <w:uiPriority w:val="0"/>
    <w:pPr>
      <w:spacing w:line="360" w:lineRule="auto"/>
      <w:ind w:firstLine="480" w:firstLineChars="200"/>
    </w:pPr>
    <w:rPr>
      <w:rFonts w:eastAsia="仿宋_GB2312"/>
      <w:sz w:val="24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9">
    <w:name w:val="1正文"/>
    <w:basedOn w:val="1"/>
    <w:qFormat/>
    <w:uiPriority w:val="0"/>
    <w:pPr>
      <w:ind w:firstLine="420"/>
    </w:pPr>
    <w:rPr>
      <w:rFonts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2237</Words>
  <Characters>2382</Characters>
  <Lines>0</Lines>
  <Paragraphs>0</Paragraphs>
  <TotalTime>0</TotalTime>
  <ScaleCrop>false</ScaleCrop>
  <LinksUpToDate>false</LinksUpToDate>
  <CharactersWithSpaces>2445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2024-08-13T02:18:00Z</dcterms:created>
  <dc:creator>铁林</dc:creator>
  <cp:lastModifiedBy>Administrator</cp:lastModifiedBy>
  <dcterms:modified xsi:type="dcterms:W3CDTF">2024-08-15T00:06:40Z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0B577FCEC6494CD3BA6E91CC984BD168_11</vt:lpwstr>
  </property>
</Properties>
</file>