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78BE0">
      <w:pPr>
        <w:spacing w:line="540" w:lineRule="exact"/>
        <w:jc w:val="center"/>
        <w:textAlignment w:val="baseline"/>
        <w:rPr>
          <w:rStyle w:val="6"/>
          <w:rFonts w:ascii="宋体" w:hAnsi="宋体"/>
          <w:b/>
          <w:kern w:val="2"/>
          <w:sz w:val="52"/>
          <w:szCs w:val="52"/>
          <w:lang w:val="en-US" w:eastAsia="zh-CN" w:bidi="ar-SA"/>
        </w:rPr>
      </w:pPr>
    </w:p>
    <w:p w14:paraId="647EA6B3">
      <w:pPr>
        <w:spacing w:line="540" w:lineRule="exact"/>
        <w:jc w:val="center"/>
        <w:textAlignment w:val="baseline"/>
        <w:rPr>
          <w:rStyle w:val="6"/>
          <w:rFonts w:ascii="宋体" w:hAnsi="宋体"/>
          <w:b/>
          <w:kern w:val="2"/>
          <w:sz w:val="52"/>
          <w:szCs w:val="52"/>
          <w:lang w:val="en-US" w:eastAsia="zh-CN" w:bidi="ar-SA"/>
        </w:rPr>
      </w:pPr>
    </w:p>
    <w:p w14:paraId="540E3170">
      <w:pPr>
        <w:spacing w:line="540" w:lineRule="exact"/>
        <w:jc w:val="center"/>
        <w:textAlignment w:val="baseline"/>
        <w:rPr>
          <w:rStyle w:val="6"/>
          <w:rFonts w:ascii="宋体" w:hAnsi="宋体"/>
          <w:b/>
          <w:kern w:val="2"/>
          <w:sz w:val="52"/>
          <w:szCs w:val="52"/>
          <w:lang w:val="en-US" w:eastAsia="zh-CN" w:bidi="ar-SA"/>
        </w:rPr>
      </w:pPr>
    </w:p>
    <w:p w14:paraId="5132465E">
      <w:pPr>
        <w:spacing w:line="540" w:lineRule="exact"/>
        <w:jc w:val="center"/>
        <w:textAlignment w:val="baseline"/>
        <w:rPr>
          <w:rStyle w:val="6"/>
          <w:rFonts w:ascii="宋体" w:hAnsi="宋体"/>
          <w:b/>
          <w:kern w:val="2"/>
          <w:sz w:val="52"/>
          <w:szCs w:val="52"/>
          <w:lang w:val="en-US" w:eastAsia="zh-CN" w:bidi="ar-SA"/>
        </w:rPr>
      </w:pPr>
    </w:p>
    <w:p w14:paraId="55548A8F">
      <w:pPr>
        <w:spacing w:line="540" w:lineRule="exact"/>
        <w:jc w:val="center"/>
        <w:textAlignment w:val="baseline"/>
        <w:rPr>
          <w:rStyle w:val="6"/>
          <w:rFonts w:ascii="宋体" w:hAnsi="宋体"/>
          <w:b/>
          <w:kern w:val="2"/>
          <w:sz w:val="52"/>
          <w:szCs w:val="52"/>
          <w:lang w:val="en-US" w:eastAsia="zh-CN" w:bidi="ar-SA"/>
        </w:rPr>
      </w:pPr>
    </w:p>
    <w:p w14:paraId="5E05836E">
      <w:pPr>
        <w:spacing w:line="480" w:lineRule="auto"/>
        <w:jc w:val="center"/>
        <w:textAlignment w:val="baseline"/>
        <w:rPr>
          <w:rStyle w:val="6"/>
          <w:rFonts w:ascii="宋体" w:hAnsi="宋体"/>
          <w:b/>
          <w:kern w:val="2"/>
          <w:sz w:val="52"/>
          <w:szCs w:val="52"/>
          <w:lang w:val="en-US" w:eastAsia="zh-CN" w:bidi="ar-SA"/>
        </w:rPr>
      </w:pPr>
      <w:r>
        <w:rPr>
          <w:rStyle w:val="6"/>
          <w:rFonts w:ascii="宋体" w:hAnsi="宋体"/>
          <w:b/>
          <w:kern w:val="2"/>
          <w:sz w:val="52"/>
          <w:szCs w:val="52"/>
          <w:lang w:val="en-US" w:eastAsia="zh-CN" w:bidi="ar-SA"/>
        </w:rPr>
        <w:t>盘锦市生态环境局 2019年度</w:t>
      </w:r>
    </w:p>
    <w:p w14:paraId="6AB0C6FD">
      <w:pPr>
        <w:spacing w:line="480" w:lineRule="auto"/>
        <w:jc w:val="center"/>
        <w:textAlignment w:val="baseline"/>
        <w:rPr>
          <w:rStyle w:val="6"/>
          <w:rFonts w:ascii="宋体" w:hAnsi="宋体"/>
          <w:b/>
          <w:kern w:val="2"/>
          <w:sz w:val="52"/>
          <w:szCs w:val="52"/>
          <w:lang w:val="en-US" w:eastAsia="zh-CN" w:bidi="ar-SA"/>
        </w:rPr>
      </w:pPr>
      <w:r>
        <w:rPr>
          <w:rStyle w:val="6"/>
          <w:rFonts w:ascii="宋体" w:hAnsi="宋体"/>
          <w:b/>
          <w:kern w:val="2"/>
          <w:sz w:val="52"/>
          <w:szCs w:val="52"/>
          <w:lang w:val="en-US" w:eastAsia="zh-CN" w:bidi="ar-SA"/>
        </w:rPr>
        <w:t>部门决算公开说明</w:t>
      </w:r>
    </w:p>
    <w:p w14:paraId="6DEE05BE">
      <w:pPr>
        <w:spacing w:line="540" w:lineRule="exact"/>
        <w:jc w:val="center"/>
        <w:textAlignment w:val="baseline"/>
        <w:rPr>
          <w:rStyle w:val="6"/>
          <w:b/>
          <w:kern w:val="2"/>
          <w:sz w:val="44"/>
          <w:szCs w:val="44"/>
          <w:u w:val="single"/>
          <w:lang w:val="en-US" w:eastAsia="zh-CN" w:bidi="ar-SA"/>
        </w:rPr>
      </w:pPr>
    </w:p>
    <w:p w14:paraId="535A5733">
      <w:pPr>
        <w:spacing w:line="540" w:lineRule="exact"/>
        <w:jc w:val="center"/>
        <w:textAlignment w:val="baseline"/>
        <w:rPr>
          <w:rStyle w:val="6"/>
          <w:b/>
          <w:kern w:val="2"/>
          <w:sz w:val="44"/>
          <w:szCs w:val="44"/>
          <w:u w:val="single"/>
          <w:lang w:val="en-US" w:eastAsia="zh-CN" w:bidi="ar-SA"/>
        </w:rPr>
      </w:pPr>
    </w:p>
    <w:p w14:paraId="329B486D">
      <w:pPr>
        <w:spacing w:line="540" w:lineRule="exact"/>
        <w:jc w:val="center"/>
        <w:textAlignment w:val="baseline"/>
        <w:rPr>
          <w:rStyle w:val="6"/>
          <w:b/>
          <w:kern w:val="2"/>
          <w:sz w:val="44"/>
          <w:szCs w:val="44"/>
          <w:u w:val="single"/>
          <w:lang w:val="en-US" w:eastAsia="zh-CN" w:bidi="ar-SA"/>
        </w:rPr>
      </w:pPr>
    </w:p>
    <w:p w14:paraId="4E880A7D">
      <w:pPr>
        <w:spacing w:line="540" w:lineRule="exact"/>
        <w:jc w:val="center"/>
        <w:textAlignment w:val="baseline"/>
        <w:rPr>
          <w:rStyle w:val="6"/>
          <w:b/>
          <w:kern w:val="2"/>
          <w:sz w:val="44"/>
          <w:szCs w:val="44"/>
          <w:u w:val="single"/>
          <w:lang w:val="en-US" w:eastAsia="zh-CN" w:bidi="ar-SA"/>
        </w:rPr>
      </w:pPr>
    </w:p>
    <w:p w14:paraId="2FEE5372">
      <w:pPr>
        <w:spacing w:line="540" w:lineRule="exact"/>
        <w:jc w:val="center"/>
        <w:textAlignment w:val="baseline"/>
        <w:rPr>
          <w:rStyle w:val="6"/>
          <w:b/>
          <w:kern w:val="2"/>
          <w:sz w:val="44"/>
          <w:szCs w:val="44"/>
          <w:u w:val="single"/>
          <w:lang w:val="en-US" w:eastAsia="zh-CN" w:bidi="ar-SA"/>
        </w:rPr>
      </w:pPr>
    </w:p>
    <w:p w14:paraId="0C6652EF">
      <w:pPr>
        <w:spacing w:line="540" w:lineRule="exact"/>
        <w:jc w:val="center"/>
        <w:textAlignment w:val="baseline"/>
        <w:rPr>
          <w:rStyle w:val="6"/>
          <w:b/>
          <w:kern w:val="2"/>
          <w:sz w:val="44"/>
          <w:szCs w:val="44"/>
          <w:u w:val="single"/>
          <w:lang w:val="en-US" w:eastAsia="zh-CN" w:bidi="ar-SA"/>
        </w:rPr>
      </w:pPr>
    </w:p>
    <w:p w14:paraId="68DEE78E">
      <w:pPr>
        <w:spacing w:line="540" w:lineRule="exact"/>
        <w:jc w:val="center"/>
        <w:textAlignment w:val="baseline"/>
        <w:rPr>
          <w:rStyle w:val="6"/>
          <w:b/>
          <w:kern w:val="2"/>
          <w:sz w:val="44"/>
          <w:szCs w:val="44"/>
          <w:u w:val="single"/>
          <w:lang w:val="en-US" w:eastAsia="zh-CN" w:bidi="ar-SA"/>
        </w:rPr>
      </w:pPr>
    </w:p>
    <w:p w14:paraId="6D9C9482">
      <w:pPr>
        <w:spacing w:line="540" w:lineRule="exact"/>
        <w:jc w:val="center"/>
        <w:textAlignment w:val="baseline"/>
        <w:rPr>
          <w:rStyle w:val="6"/>
          <w:b/>
          <w:kern w:val="2"/>
          <w:sz w:val="44"/>
          <w:szCs w:val="44"/>
          <w:u w:val="single"/>
          <w:lang w:val="en-US" w:eastAsia="zh-CN" w:bidi="ar-SA"/>
        </w:rPr>
      </w:pPr>
    </w:p>
    <w:p w14:paraId="7840F151">
      <w:pPr>
        <w:spacing w:line="540" w:lineRule="exact"/>
        <w:jc w:val="center"/>
        <w:textAlignment w:val="baseline"/>
        <w:rPr>
          <w:rStyle w:val="6"/>
          <w:b/>
          <w:kern w:val="2"/>
          <w:sz w:val="44"/>
          <w:szCs w:val="44"/>
          <w:u w:val="single"/>
          <w:lang w:val="en-US" w:eastAsia="zh-CN" w:bidi="ar-SA"/>
        </w:rPr>
      </w:pPr>
    </w:p>
    <w:p w14:paraId="4CD268AB">
      <w:pPr>
        <w:spacing w:line="540" w:lineRule="exact"/>
        <w:jc w:val="center"/>
        <w:textAlignment w:val="baseline"/>
        <w:rPr>
          <w:rStyle w:val="6"/>
          <w:b/>
          <w:kern w:val="2"/>
          <w:sz w:val="44"/>
          <w:szCs w:val="44"/>
          <w:u w:val="single"/>
          <w:lang w:val="en-US" w:eastAsia="zh-CN" w:bidi="ar-SA"/>
        </w:rPr>
      </w:pPr>
    </w:p>
    <w:p w14:paraId="3DDA6AEF">
      <w:pPr>
        <w:spacing w:line="540" w:lineRule="exact"/>
        <w:jc w:val="center"/>
        <w:textAlignment w:val="baseline"/>
        <w:rPr>
          <w:rStyle w:val="6"/>
          <w:b/>
          <w:kern w:val="2"/>
          <w:sz w:val="44"/>
          <w:szCs w:val="44"/>
          <w:u w:val="single"/>
          <w:lang w:val="en-US" w:eastAsia="zh-CN" w:bidi="ar-SA"/>
        </w:rPr>
      </w:pPr>
    </w:p>
    <w:p w14:paraId="6337AD12">
      <w:pPr>
        <w:spacing w:line="540" w:lineRule="exact"/>
        <w:jc w:val="center"/>
        <w:textAlignment w:val="baseline"/>
        <w:rPr>
          <w:rStyle w:val="6"/>
          <w:b/>
          <w:kern w:val="2"/>
          <w:sz w:val="44"/>
          <w:szCs w:val="44"/>
          <w:u w:val="single"/>
          <w:lang w:val="en-US" w:eastAsia="zh-CN" w:bidi="ar-SA"/>
        </w:rPr>
      </w:pPr>
    </w:p>
    <w:p w14:paraId="5598AE46">
      <w:pPr>
        <w:spacing w:line="540" w:lineRule="exact"/>
        <w:jc w:val="center"/>
        <w:textAlignment w:val="baseline"/>
        <w:rPr>
          <w:rStyle w:val="6"/>
          <w:b/>
          <w:kern w:val="2"/>
          <w:sz w:val="44"/>
          <w:szCs w:val="44"/>
          <w:lang w:val="en-US" w:eastAsia="zh-CN" w:bidi="ar-SA"/>
        </w:rPr>
      </w:pPr>
    </w:p>
    <w:p w14:paraId="7702BC15">
      <w:pPr>
        <w:spacing w:line="540" w:lineRule="exact"/>
        <w:jc w:val="center"/>
        <w:textAlignment w:val="baseline"/>
        <w:rPr>
          <w:rStyle w:val="6"/>
          <w:b/>
          <w:kern w:val="2"/>
          <w:sz w:val="44"/>
          <w:szCs w:val="44"/>
          <w:lang w:val="en-US" w:eastAsia="zh-CN" w:bidi="ar-SA"/>
        </w:rPr>
      </w:pPr>
    </w:p>
    <w:p w14:paraId="12F9D5AE">
      <w:pPr>
        <w:spacing w:line="540" w:lineRule="exact"/>
        <w:jc w:val="center"/>
        <w:textAlignment w:val="baseline"/>
        <w:rPr>
          <w:rStyle w:val="6"/>
          <w:b/>
          <w:kern w:val="2"/>
          <w:sz w:val="44"/>
          <w:szCs w:val="44"/>
          <w:lang w:val="en-US" w:eastAsia="zh-CN" w:bidi="ar-SA"/>
        </w:rPr>
      </w:pPr>
    </w:p>
    <w:p w14:paraId="3536E404">
      <w:pPr>
        <w:spacing w:line="540" w:lineRule="exact"/>
        <w:jc w:val="center"/>
        <w:textAlignment w:val="baseline"/>
        <w:rPr>
          <w:rStyle w:val="6"/>
          <w:b/>
          <w:kern w:val="2"/>
          <w:sz w:val="44"/>
          <w:szCs w:val="44"/>
          <w:lang w:val="en-US" w:eastAsia="zh-CN" w:bidi="ar-SA"/>
        </w:rPr>
      </w:pPr>
    </w:p>
    <w:p w14:paraId="012DC88C">
      <w:pPr>
        <w:spacing w:line="540" w:lineRule="exact"/>
        <w:jc w:val="center"/>
        <w:textAlignment w:val="baseline"/>
        <w:rPr>
          <w:rStyle w:val="6"/>
          <w:b/>
          <w:kern w:val="2"/>
          <w:sz w:val="44"/>
          <w:szCs w:val="44"/>
          <w:lang w:val="en-US" w:eastAsia="zh-CN" w:bidi="ar-SA"/>
        </w:rPr>
      </w:pPr>
    </w:p>
    <w:p w14:paraId="24DB8FC4">
      <w:pPr>
        <w:spacing w:line="540" w:lineRule="exact"/>
        <w:jc w:val="center"/>
        <w:textAlignment w:val="baseline"/>
        <w:rPr>
          <w:rStyle w:val="6"/>
          <w:b/>
          <w:kern w:val="2"/>
          <w:sz w:val="44"/>
          <w:szCs w:val="44"/>
          <w:lang w:val="en-US" w:eastAsia="zh-CN" w:bidi="ar-SA"/>
        </w:rPr>
      </w:pPr>
      <w:r>
        <w:rPr>
          <w:rStyle w:val="6"/>
          <w:b/>
          <w:kern w:val="2"/>
          <w:sz w:val="44"/>
          <w:szCs w:val="44"/>
          <w:lang w:val="en-US" w:eastAsia="zh-CN" w:bidi="ar-SA"/>
        </w:rPr>
        <w:t>目    录</w:t>
      </w:r>
    </w:p>
    <w:p w14:paraId="743F99F8">
      <w:pPr>
        <w:spacing w:line="540" w:lineRule="exact"/>
        <w:jc w:val="both"/>
        <w:textAlignment w:val="baseline"/>
        <w:rPr>
          <w:rStyle w:val="6"/>
          <w:b/>
          <w:kern w:val="2"/>
          <w:sz w:val="44"/>
          <w:szCs w:val="44"/>
          <w:u w:val="single"/>
          <w:lang w:val="en-US" w:eastAsia="zh-CN" w:bidi="ar-SA"/>
        </w:rPr>
      </w:pPr>
    </w:p>
    <w:p w14:paraId="2AE0A656">
      <w:pPr>
        <w:spacing w:line="540" w:lineRule="exact"/>
        <w:jc w:val="both"/>
        <w:textAlignment w:val="baseline"/>
        <w:rPr>
          <w:rStyle w:val="6"/>
          <w:b/>
          <w:kern w:val="2"/>
          <w:sz w:val="44"/>
          <w:szCs w:val="44"/>
          <w:u w:val="single"/>
          <w:lang w:val="en-US" w:eastAsia="zh-CN" w:bidi="ar-SA"/>
        </w:rPr>
      </w:pPr>
    </w:p>
    <w:p w14:paraId="744992B3">
      <w:pPr>
        <w:spacing w:line="540" w:lineRule="exact"/>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第一部分    盘锦市生态环境局概况</w:t>
      </w:r>
    </w:p>
    <w:p w14:paraId="06F05B8D">
      <w:pPr>
        <w:numPr>
          <w:ilvl w:val="0"/>
          <w:numId w:val="1"/>
        </w:numPr>
        <w:spacing w:line="540" w:lineRule="exact"/>
        <w:ind w:left="720" w:hanging="72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主要职责及机构设置情况</w:t>
      </w:r>
    </w:p>
    <w:p w14:paraId="2D06051A">
      <w:pPr>
        <w:numPr>
          <w:ilvl w:val="0"/>
          <w:numId w:val="1"/>
        </w:numPr>
        <w:spacing w:line="540" w:lineRule="exact"/>
        <w:ind w:left="720" w:hanging="72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部门决算单位构成</w:t>
      </w:r>
    </w:p>
    <w:p w14:paraId="4C53A98F">
      <w:pPr>
        <w:spacing w:line="540" w:lineRule="exact"/>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第二部分    盘锦市生态环境局2019年度部门决算报表</w:t>
      </w:r>
    </w:p>
    <w:p w14:paraId="01B9A33D">
      <w:pPr>
        <w:spacing w:line="540" w:lineRule="exact"/>
        <w:jc w:val="both"/>
        <w:textAlignment w:val="baseline"/>
        <w:rPr>
          <w:rStyle w:val="6"/>
          <w:rFonts w:ascii="仿宋_GB2312" w:hAnsi="黑体" w:eastAsia="仿宋_GB2312"/>
          <w:kern w:val="2"/>
          <w:sz w:val="32"/>
          <w:szCs w:val="32"/>
          <w:lang w:val="en-US" w:eastAsia="zh-CN" w:bidi="ar-SA"/>
        </w:rPr>
      </w:pPr>
      <w:r>
        <w:rPr>
          <w:rStyle w:val="6"/>
          <w:rFonts w:ascii="仿宋_GB2312" w:eastAsia="仿宋_GB2312"/>
          <w:kern w:val="2"/>
          <w:sz w:val="32"/>
          <w:szCs w:val="32"/>
          <w:lang w:val="en-US" w:eastAsia="zh-CN" w:bidi="ar-SA"/>
        </w:rPr>
        <w:t>一、</w:t>
      </w:r>
      <w:r>
        <w:rPr>
          <w:rStyle w:val="6"/>
          <w:rFonts w:ascii="仿宋_GB2312" w:hAnsi="仿宋" w:eastAsia="仿宋_GB2312"/>
          <w:kern w:val="2"/>
          <w:sz w:val="32"/>
          <w:szCs w:val="32"/>
          <w:lang w:val="en-US" w:eastAsia="zh-CN" w:bidi="ar-SA"/>
        </w:rPr>
        <w:t>2019年度收入支出决算总表</w:t>
      </w:r>
    </w:p>
    <w:p w14:paraId="1FFC6713">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二、2019</w:t>
      </w:r>
      <w:r>
        <w:rPr>
          <w:rStyle w:val="6"/>
          <w:rFonts w:ascii="仿宋_GB2312" w:hAnsi="仿宋" w:eastAsia="仿宋_GB2312"/>
          <w:kern w:val="2"/>
          <w:sz w:val="32"/>
          <w:szCs w:val="32"/>
          <w:lang w:val="en-US" w:eastAsia="zh-CN" w:bidi="ar-SA"/>
        </w:rPr>
        <w:t>年度</w:t>
      </w:r>
      <w:r>
        <w:rPr>
          <w:rStyle w:val="6"/>
          <w:rFonts w:ascii="仿宋_GB2312" w:eastAsia="仿宋_GB2312"/>
          <w:kern w:val="2"/>
          <w:sz w:val="32"/>
          <w:szCs w:val="32"/>
          <w:lang w:val="en-US" w:eastAsia="zh-CN" w:bidi="ar-SA"/>
        </w:rPr>
        <w:t>收入决算表</w:t>
      </w:r>
    </w:p>
    <w:p w14:paraId="1C973F56">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三、2019</w:t>
      </w:r>
      <w:r>
        <w:rPr>
          <w:rStyle w:val="6"/>
          <w:rFonts w:ascii="仿宋_GB2312" w:hAnsi="仿宋" w:eastAsia="仿宋_GB2312"/>
          <w:kern w:val="2"/>
          <w:sz w:val="32"/>
          <w:szCs w:val="32"/>
          <w:lang w:val="en-US" w:eastAsia="zh-CN" w:bidi="ar-SA"/>
        </w:rPr>
        <w:t>年度</w:t>
      </w:r>
      <w:r>
        <w:rPr>
          <w:rStyle w:val="6"/>
          <w:rFonts w:ascii="仿宋_GB2312" w:eastAsia="仿宋_GB2312"/>
          <w:kern w:val="2"/>
          <w:sz w:val="32"/>
          <w:szCs w:val="32"/>
          <w:lang w:val="en-US" w:eastAsia="zh-CN" w:bidi="ar-SA"/>
        </w:rPr>
        <w:t>支出决算表</w:t>
      </w:r>
    </w:p>
    <w:p w14:paraId="15B3E1AB">
      <w:pPr>
        <w:spacing w:line="540" w:lineRule="exact"/>
        <w:jc w:val="both"/>
        <w:textAlignment w:val="baseline"/>
        <w:rPr>
          <w:rStyle w:val="6"/>
          <w:rFonts w:ascii="仿宋_GB2312" w:hAnsi="黑体" w:eastAsia="仿宋_GB2312"/>
          <w:kern w:val="2"/>
          <w:sz w:val="32"/>
          <w:szCs w:val="32"/>
          <w:lang w:val="en-US" w:eastAsia="zh-CN" w:bidi="ar-SA"/>
        </w:rPr>
      </w:pPr>
      <w:r>
        <w:rPr>
          <w:rStyle w:val="6"/>
          <w:rFonts w:ascii="仿宋_GB2312" w:eastAsia="仿宋_GB2312"/>
          <w:kern w:val="2"/>
          <w:sz w:val="32"/>
          <w:szCs w:val="32"/>
          <w:lang w:val="en-US" w:eastAsia="zh-CN" w:bidi="ar-SA"/>
        </w:rPr>
        <w:t>四、</w:t>
      </w:r>
      <w:r>
        <w:rPr>
          <w:rStyle w:val="6"/>
          <w:rFonts w:ascii="仿宋_GB2312" w:hAnsi="仿宋" w:eastAsia="仿宋_GB2312"/>
          <w:kern w:val="2"/>
          <w:sz w:val="32"/>
          <w:szCs w:val="32"/>
          <w:lang w:val="en-US" w:eastAsia="zh-CN" w:bidi="ar-SA"/>
        </w:rPr>
        <w:t>2019年度财政拨款收入支出决算表</w:t>
      </w:r>
    </w:p>
    <w:p w14:paraId="7744AA37">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五、2019年度一般公共预算财政拨款收入支出决算表</w:t>
      </w:r>
    </w:p>
    <w:p w14:paraId="4A2209D1">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六、2019年度一般公共预算财政拨款基本支出决算表</w:t>
      </w:r>
    </w:p>
    <w:p w14:paraId="02D2CC9C">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七、2019年度政府性基金预算财政拨款收入支出决算表</w:t>
      </w:r>
    </w:p>
    <w:p w14:paraId="31684EBD">
      <w:pPr>
        <w:spacing w:line="540" w:lineRule="exact"/>
        <w:ind w:left="640" w:hanging="640" w:hanging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八、2019</w:t>
      </w:r>
      <w:r>
        <w:rPr>
          <w:rStyle w:val="6"/>
          <w:rFonts w:ascii="仿宋_GB2312" w:hAnsi="仿宋" w:eastAsia="仿宋_GB2312"/>
          <w:kern w:val="2"/>
          <w:sz w:val="32"/>
          <w:szCs w:val="32"/>
          <w:lang w:val="en-US" w:eastAsia="zh-CN" w:bidi="ar-SA"/>
        </w:rPr>
        <w:t>年度</w:t>
      </w:r>
      <w:r>
        <w:rPr>
          <w:rStyle w:val="6"/>
          <w:rFonts w:ascii="仿宋_GB2312" w:eastAsia="仿宋_GB2312"/>
          <w:kern w:val="2"/>
          <w:sz w:val="32"/>
          <w:szCs w:val="32"/>
          <w:lang w:val="en-US" w:eastAsia="zh-CN" w:bidi="ar-SA"/>
        </w:rPr>
        <w:t>一般公共预算财政拨款“三公”经费支出决算表</w:t>
      </w:r>
    </w:p>
    <w:p w14:paraId="74D47E59">
      <w:pPr>
        <w:numPr>
          <w:ilvl w:val="0"/>
          <w:numId w:val="2"/>
        </w:numPr>
        <w:spacing w:line="540" w:lineRule="exact"/>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 xml:space="preserve">   盘锦市生态环境局2019年度部门决算情况说明</w:t>
      </w:r>
    </w:p>
    <w:p w14:paraId="5231461C">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一、收入支出决算总体情况</w:t>
      </w:r>
    </w:p>
    <w:p w14:paraId="5A023463">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二、财政拨款支出决算情况</w:t>
      </w:r>
    </w:p>
    <w:p w14:paraId="0C2FCAD3">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三、一般公共预算财政拨款“三公”经费支出决算情况</w:t>
      </w:r>
    </w:p>
    <w:p w14:paraId="52A118DE">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四、一般公共预算财政拨款基本支出决算情况说明</w:t>
      </w:r>
    </w:p>
    <w:p w14:paraId="545DBF55">
      <w:pPr>
        <w:spacing w:line="540" w:lineRule="exact"/>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五、其他重要事项的情况说明</w:t>
      </w:r>
    </w:p>
    <w:p w14:paraId="02803C3A">
      <w:pPr>
        <w:spacing w:line="540" w:lineRule="exact"/>
        <w:jc w:val="both"/>
        <w:textAlignment w:val="baseline"/>
        <w:rPr>
          <w:rStyle w:val="6"/>
          <w:rFonts w:ascii="黑体" w:eastAsia="黑体"/>
          <w:kern w:val="2"/>
          <w:sz w:val="32"/>
          <w:szCs w:val="32"/>
          <w:lang w:val="en-US" w:eastAsia="zh-CN" w:bidi="ar-SA"/>
        </w:rPr>
      </w:pPr>
      <w:r>
        <w:rPr>
          <w:rStyle w:val="6"/>
          <w:rFonts w:ascii="黑体" w:hAnsi="黑体" w:eastAsia="黑体"/>
          <w:kern w:val="2"/>
          <w:sz w:val="32"/>
          <w:szCs w:val="32"/>
          <w:lang w:val="en-US" w:eastAsia="zh-CN" w:bidi="ar-SA"/>
        </w:rPr>
        <w:t>第四部分    名词解释</w:t>
      </w:r>
    </w:p>
    <w:p w14:paraId="6926999D">
      <w:pPr>
        <w:spacing w:line="540" w:lineRule="exact"/>
        <w:jc w:val="center"/>
        <w:textAlignment w:val="baseline"/>
        <w:rPr>
          <w:rStyle w:val="6"/>
          <w:rFonts w:ascii="黑体" w:eastAsia="黑体"/>
          <w:kern w:val="2"/>
          <w:sz w:val="32"/>
          <w:szCs w:val="32"/>
          <w:lang w:val="en-US" w:eastAsia="zh-CN" w:bidi="ar-SA"/>
        </w:rPr>
      </w:pPr>
    </w:p>
    <w:p w14:paraId="6686C290">
      <w:pPr>
        <w:spacing w:line="540" w:lineRule="exact"/>
        <w:ind w:firstLine="1446" w:firstLineChars="400"/>
        <w:jc w:val="both"/>
        <w:textAlignment w:val="baseline"/>
        <w:rPr>
          <w:rStyle w:val="6"/>
          <w:rFonts w:ascii="宋体" w:hAnsi="宋体"/>
          <w:b/>
          <w:kern w:val="2"/>
          <w:sz w:val="36"/>
          <w:szCs w:val="36"/>
          <w:lang w:val="en-US" w:eastAsia="zh-CN" w:bidi="ar-SA"/>
        </w:rPr>
      </w:pPr>
      <w:r>
        <w:rPr>
          <w:rStyle w:val="6"/>
          <w:rFonts w:ascii="宋体" w:hAnsi="宋体"/>
          <w:b/>
          <w:kern w:val="2"/>
          <w:sz w:val="36"/>
          <w:szCs w:val="36"/>
          <w:lang w:val="en-US" w:eastAsia="zh-CN" w:bidi="ar-SA"/>
        </w:rPr>
        <w:t>第一部分 盘锦市生态环境局概况</w:t>
      </w:r>
    </w:p>
    <w:p w14:paraId="758D679A">
      <w:pPr>
        <w:spacing w:line="540" w:lineRule="exact"/>
        <w:ind w:firstLine="640" w:firstLineChars="200"/>
        <w:jc w:val="left"/>
        <w:textAlignment w:val="baseline"/>
        <w:rPr>
          <w:rStyle w:val="6"/>
          <w:rFonts w:ascii="黑体" w:eastAsia="黑体"/>
          <w:kern w:val="2"/>
          <w:sz w:val="32"/>
          <w:szCs w:val="32"/>
          <w:lang w:val="en-US" w:eastAsia="zh-CN" w:bidi="ar-SA"/>
        </w:rPr>
      </w:pPr>
    </w:p>
    <w:p w14:paraId="0689C3C9">
      <w:pPr>
        <w:spacing w:line="540" w:lineRule="exact"/>
        <w:ind w:firstLine="640" w:firstLineChars="200"/>
        <w:jc w:val="left"/>
        <w:textAlignment w:val="baseline"/>
        <w:rPr>
          <w:rStyle w:val="6"/>
          <w:rFonts w:ascii="黑体" w:eastAsia="黑体"/>
          <w:kern w:val="2"/>
          <w:sz w:val="32"/>
          <w:szCs w:val="32"/>
          <w:lang w:val="en-US" w:eastAsia="zh-CN" w:bidi="ar-SA"/>
        </w:rPr>
      </w:pPr>
      <w:r>
        <w:rPr>
          <w:rStyle w:val="6"/>
          <w:rFonts w:ascii="黑体" w:eastAsia="黑体"/>
          <w:kern w:val="2"/>
          <w:sz w:val="32"/>
          <w:szCs w:val="32"/>
          <w:lang w:val="en-US" w:eastAsia="zh-CN" w:bidi="ar-SA"/>
        </w:rPr>
        <w:t>一、主要职责及机构设置情况</w:t>
      </w:r>
    </w:p>
    <w:p w14:paraId="4E684A94">
      <w:pPr>
        <w:spacing w:line="540" w:lineRule="exact"/>
        <w:ind w:left="640"/>
        <w:jc w:val="left"/>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部门主要职责：</w:t>
      </w:r>
    </w:p>
    <w:p w14:paraId="384AB5A7">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color w:val="000000"/>
          <w:kern w:val="2"/>
          <w:sz w:val="32"/>
          <w:szCs w:val="32"/>
          <w:lang w:val="en-US" w:eastAsia="zh-CN" w:bidi="ar-SA"/>
        </w:rPr>
        <w:t>1.贯彻执行国家生态环境基本制度。起草市生态环境规范性文件，组织编制市生态环境总体规划并组织实施；起草相关地方性法规和市政府规章草案。会同有关部门编制并监督实施重点区域、流域、海域、饮用水水源地生态环境规划和水功能区划,组织拟订地方生态环境标准和技术规范。</w:t>
      </w:r>
    </w:p>
    <w:p w14:paraId="6303641B">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2.负责重大生态环境问题的统筹协调和监督管理。牵头协调重特大环境污染事故和生态破坏事件的调查处理, 指导协调地方政府对重特大突发生态环境事件的应急、预警工作,牵头指导实施生态环境损害赔偿制度,统筹协调重点区域、流域、海域生态环境保护工作。</w:t>
      </w:r>
    </w:p>
    <w:p w14:paraId="36997E39">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3.负责监督管理减排目标的落实。组织实施陆地和海洋各类污染物排放总量控制制度,承担排污许可证相关工作,确定大气、水、海洋等纳污能力,提出实施总量控制的污染物名称和控制指标,监督检查地方污染物减排任务完成情况,实施生态环境保护目标责任制。</w:t>
      </w:r>
    </w:p>
    <w:p w14:paraId="599DA3C0">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4.负责提出生态环境领域地方财政专项资金安排意见,配合有关部门做好组织实施和监督工作,参与指导推动循环经济和生态环保产业发展。</w:t>
      </w:r>
    </w:p>
    <w:p w14:paraId="67995C16">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5.负责环境污染防治的监督管理。制定大气、水、海洋、土壤、噪声、光、恶臭、固体废物、化学品、机动车等污染防治管理制度并监督实施。会同有关部门监督管理饮用水水源地生态环境保护工作,组织指导城乡生态环境综合整治工作,监督指导农业面源污染治理工作。负责应对气候变化工作</w:t>
      </w:r>
    </w:p>
    <w:p w14:paraId="4903E369">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6.指导协调和监督生态保护修复工作。拟定生态保护规划,监督对生态环境有影响的自然资源开发利用活动、重要生态环境建设和生态破坏恢复工作。组织实施各类自然保护地生态环境监管制度并监督执法。监督野生动植物保护、湿地生态环境保护、荒漠化防治等工作。指导协调和监督农村生态环境保护,监督生物技术环境安全,牵头生物物种 (含遗传资源)工作,组织协调生物多样性保护工作, 参与生态保护补偿工作。</w:t>
      </w:r>
    </w:p>
    <w:p w14:paraId="300A1E3D">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7.负责核与辐射安全的监督管理。贯彻执行并拟订有关政策、规划、标准,参与核事故应急处理,负责辐射环境事故应急处理工作。监督管理核设施和放射源安全, 监督管理核设施、核技术应用、电磁辐射、伴有放射性矿产资源开发利用中的污染防治。对核材料管制和民用核安全设备设计、制造、安装及无损检验活动实施监督管理。</w:t>
      </w:r>
    </w:p>
    <w:p w14:paraId="44C064C4">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8.负责生态环境准入的监督管理。对重大经济和技术政策、发展规划以及重大经济开发计划提出环境保护意见。按规定审批或审查重大开发建设区域、规划、项目环境影响评价文件。组织实施生态环境准入清单。</w:t>
      </w:r>
    </w:p>
    <w:p w14:paraId="72C42DD9">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9.负责生态环境监测工作。贯彻落实生态环境监测制度和规范。会同有关部门统一规划生态环境质量监测站点设置,组织实施生态环境质量监测、污染源监督性监测、温室气体减排监测、应急监测。组织对生态环境质量状况进行调查评价、预警预测,组织建设和管理地方生态环境监测网和生态环境信息网。建立和实行生态环境质量公告制度,统一发布地方生态环境综合性报告和重大生态环境信息。</w:t>
      </w:r>
    </w:p>
    <w:p w14:paraId="3B8DE7E8">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10.统一负责生态环境监督执法。组织开展全市生态环境保护执法检查活动。查处重大生态环境违法问题。指导全市生态环境保护综合执法队伍建设和业务工作。</w:t>
      </w:r>
    </w:p>
    <w:p w14:paraId="3CE09AC6">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color w:val="000000"/>
          <w:kern w:val="2"/>
          <w:sz w:val="32"/>
          <w:szCs w:val="32"/>
          <w:lang w:val="en-US" w:eastAsia="zh-CN" w:bidi="ar-SA"/>
        </w:rPr>
        <w:t>11.组织指导和协调生态环境宣传教育工作,推动社会组织和公众参与生态环境保护。开展生态环境科技工作,组织生态环境重大科学研究和技术工程示范,推动生态环境技术管理体系建设。</w:t>
      </w:r>
    </w:p>
    <w:p w14:paraId="73D03C7F">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color w:val="000000"/>
          <w:kern w:val="2"/>
          <w:sz w:val="32"/>
          <w:szCs w:val="32"/>
          <w:lang w:val="en-US" w:eastAsia="zh-CN" w:bidi="ar-SA"/>
        </w:rPr>
        <w:t>12.完成市委、市政府交办的其他任务。</w:t>
      </w:r>
    </w:p>
    <w:p w14:paraId="14B172B0">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color w:val="000000"/>
          <w:kern w:val="2"/>
          <w:sz w:val="32"/>
          <w:szCs w:val="32"/>
          <w:lang w:val="en-US" w:eastAsia="zh-CN" w:bidi="ar-SA"/>
        </w:rPr>
        <w:t>13.职能转变。市生态环境局要统一行使生态和城乡各类污染排放监管与行政执法职责,切实履行监管责任, 全面落实大气、水、土壤污染防治行动计划,大幅减少进口固体废物种类和数量直至全面禁止洋垃圾入境。构建政府为主导、企业为主体、社会组织和公众共同参与的生态环境治理体系,实行最严格的生态环境保护制度,严守生态保护红线和环境质量底线,坚决打好污染防治攻坚战,保障国家生态安全,建设美丽中国。</w:t>
      </w:r>
    </w:p>
    <w:p w14:paraId="09013873">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color w:val="000000"/>
          <w:kern w:val="2"/>
          <w:sz w:val="32"/>
          <w:szCs w:val="32"/>
          <w:lang w:val="en-US" w:eastAsia="zh-CN" w:bidi="ar-SA"/>
        </w:rPr>
        <w:t>14.关于污水处理方面的职责分工。市生态环境局负责组织指导农村污水处理设施的规划、建设、运营监管工作。市住房和城乡建设局负责指导污水处理配套管网建设,组织指导城镇污水处理设施的规划、建设、运营监管。</w:t>
      </w:r>
    </w:p>
    <w:p w14:paraId="313EFEE4">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根据本部门主要职责，单位内设八个科室，分别是：</w:t>
      </w:r>
    </w:p>
    <w:p w14:paraId="7C126714">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1.办公室。</w:t>
      </w:r>
    </w:p>
    <w:p w14:paraId="3588E5ED">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2.环境影响评价与排放管理科。</w:t>
      </w:r>
    </w:p>
    <w:p w14:paraId="188F8B42">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3.水和海洋生态环境科。</w:t>
      </w:r>
    </w:p>
    <w:p w14:paraId="05AB9FFC">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4.大气环境与应对气候变化科。</w:t>
      </w:r>
    </w:p>
    <w:p w14:paraId="3524A0E4">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5.土壤环境与固体废物管理科。</w:t>
      </w:r>
    </w:p>
    <w:p w14:paraId="316A8085">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6.农业和自然生态保护科。</w:t>
      </w:r>
    </w:p>
    <w:p w14:paraId="4F2D69AA">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7.法规与监测应急科。</w:t>
      </w:r>
    </w:p>
    <w:p w14:paraId="07EC2377">
      <w:pPr>
        <w:spacing w:line="540" w:lineRule="exact"/>
        <w:ind w:firstLine="640" w:firstLineChars="200"/>
        <w:jc w:val="left"/>
        <w:textAlignment w:val="baseline"/>
        <w:rPr>
          <w:rStyle w:val="6"/>
          <w:rFonts w:ascii="仿宋" w:hAnsi="仿宋" w:eastAsia="仿宋"/>
          <w:color w:val="000000"/>
          <w:kern w:val="2"/>
          <w:sz w:val="32"/>
          <w:szCs w:val="32"/>
          <w:lang w:val="en-US" w:eastAsia="zh-CN" w:bidi="ar-SA"/>
        </w:rPr>
      </w:pPr>
      <w:r>
        <w:rPr>
          <w:rStyle w:val="6"/>
          <w:rFonts w:ascii="仿宋" w:hAnsi="仿宋" w:eastAsia="仿宋"/>
          <w:color w:val="000000"/>
          <w:kern w:val="2"/>
          <w:sz w:val="32"/>
          <w:szCs w:val="32"/>
          <w:lang w:val="en-US" w:eastAsia="zh-CN" w:bidi="ar-SA"/>
        </w:rPr>
        <w:t>8.机关党委办公室（人事教育科）。</w:t>
      </w:r>
    </w:p>
    <w:p w14:paraId="25C6D0FB">
      <w:pPr>
        <w:spacing w:line="540" w:lineRule="exact"/>
        <w:ind w:firstLine="640" w:firstLineChars="200"/>
        <w:jc w:val="left"/>
        <w:textAlignment w:val="baseline"/>
        <w:rPr>
          <w:rStyle w:val="6"/>
          <w:rFonts w:ascii="仿宋" w:hAnsi="仿宋" w:eastAsia="仿宋"/>
          <w:kern w:val="2"/>
          <w:sz w:val="32"/>
          <w:szCs w:val="24"/>
          <w:lang w:val="en-US" w:eastAsia="zh-CN" w:bidi="ar-SA"/>
        </w:rPr>
      </w:pPr>
      <w:r>
        <w:rPr>
          <w:rStyle w:val="6"/>
          <w:rFonts w:ascii="仿宋" w:hAnsi="仿宋" w:eastAsia="仿宋"/>
          <w:kern w:val="2"/>
          <w:sz w:val="32"/>
          <w:szCs w:val="32"/>
          <w:lang w:val="en-US" w:eastAsia="zh-CN" w:bidi="ar-SA"/>
        </w:rPr>
        <w:t>所属事业单位情况：</w:t>
      </w:r>
    </w:p>
    <w:p w14:paraId="7BA0B9FE">
      <w:pPr>
        <w:spacing w:line="540" w:lineRule="exact"/>
        <w:ind w:firstLine="640" w:firstLineChars="200"/>
        <w:jc w:val="left"/>
        <w:textAlignment w:val="baseline"/>
        <w:rPr>
          <w:rStyle w:val="6"/>
          <w:rFonts w:ascii="仿宋" w:hAnsi="仿宋" w:eastAsia="仿宋"/>
          <w:kern w:val="2"/>
          <w:sz w:val="32"/>
          <w:szCs w:val="24"/>
          <w:lang w:val="en-US" w:eastAsia="zh-CN" w:bidi="ar-SA"/>
        </w:rPr>
      </w:pPr>
      <w:r>
        <w:rPr>
          <w:rStyle w:val="6"/>
          <w:rFonts w:ascii="仿宋" w:hAnsi="仿宋" w:eastAsia="仿宋"/>
          <w:kern w:val="2"/>
          <w:sz w:val="32"/>
          <w:szCs w:val="32"/>
          <w:lang w:val="en-US" w:eastAsia="zh-CN" w:bidi="ar-SA"/>
        </w:rPr>
        <w:t>1.盘锦市绿色发展服务中心</w:t>
      </w:r>
    </w:p>
    <w:p w14:paraId="02265632">
      <w:pPr>
        <w:spacing w:line="540" w:lineRule="exact"/>
        <w:ind w:firstLine="640"/>
        <w:jc w:val="left"/>
        <w:textAlignment w:val="baseline"/>
        <w:rPr>
          <w:rStyle w:val="6"/>
          <w:rFonts w:ascii="仿宋" w:hAnsi="仿宋" w:eastAsia="仿宋"/>
          <w:kern w:val="2"/>
          <w:sz w:val="32"/>
          <w:szCs w:val="24"/>
          <w:lang w:val="en-US" w:eastAsia="zh-CN" w:bidi="ar-SA"/>
        </w:rPr>
      </w:pPr>
      <w:r>
        <w:rPr>
          <w:rStyle w:val="6"/>
          <w:rFonts w:ascii="仿宋" w:hAnsi="仿宋" w:eastAsia="仿宋"/>
          <w:kern w:val="2"/>
          <w:sz w:val="32"/>
          <w:szCs w:val="24"/>
          <w:lang w:val="en-US" w:eastAsia="zh-CN" w:bidi="ar-SA"/>
        </w:rPr>
        <w:t>2.盘锦市环境监察局</w:t>
      </w:r>
    </w:p>
    <w:p w14:paraId="5B893AF3">
      <w:pPr>
        <w:spacing w:line="540" w:lineRule="exact"/>
        <w:ind w:firstLine="640"/>
        <w:jc w:val="left"/>
        <w:textAlignment w:val="baseline"/>
        <w:rPr>
          <w:rStyle w:val="6"/>
          <w:rFonts w:ascii="黑体" w:eastAsia="黑体"/>
          <w:kern w:val="2"/>
          <w:sz w:val="32"/>
          <w:szCs w:val="32"/>
          <w:lang w:val="en-US" w:eastAsia="zh-CN" w:bidi="ar-SA"/>
        </w:rPr>
      </w:pPr>
      <w:r>
        <w:rPr>
          <w:rStyle w:val="6"/>
          <w:rFonts w:ascii="仿宋" w:hAnsi="仿宋" w:eastAsia="仿宋"/>
          <w:kern w:val="2"/>
          <w:sz w:val="32"/>
          <w:szCs w:val="24"/>
          <w:lang w:val="en-US" w:eastAsia="zh-CN" w:bidi="ar-SA"/>
        </w:rPr>
        <w:t>3.辽宁省盘锦生态环境监测中心</w:t>
      </w:r>
    </w:p>
    <w:p w14:paraId="5E811741">
      <w:pPr>
        <w:spacing w:line="540" w:lineRule="exact"/>
        <w:ind w:firstLine="640" w:firstLineChars="200"/>
        <w:jc w:val="left"/>
        <w:textAlignment w:val="baseline"/>
        <w:rPr>
          <w:rStyle w:val="6"/>
          <w:rFonts w:ascii="黑体" w:eastAsia="黑体"/>
          <w:kern w:val="2"/>
          <w:sz w:val="32"/>
          <w:szCs w:val="32"/>
          <w:lang w:val="en-US" w:eastAsia="zh-CN" w:bidi="ar-SA"/>
        </w:rPr>
      </w:pPr>
      <w:r>
        <w:rPr>
          <w:rStyle w:val="6"/>
          <w:rFonts w:ascii="黑体" w:eastAsia="黑体"/>
          <w:kern w:val="2"/>
          <w:sz w:val="32"/>
          <w:szCs w:val="32"/>
          <w:lang w:val="en-US" w:eastAsia="zh-CN" w:bidi="ar-SA"/>
        </w:rPr>
        <w:t>二、部门决算单位构成</w:t>
      </w:r>
    </w:p>
    <w:p w14:paraId="73449B41">
      <w:pPr>
        <w:spacing w:line="540" w:lineRule="exact"/>
        <w:ind w:firstLine="640" w:firstLineChars="200"/>
        <w:jc w:val="left"/>
        <w:textAlignment w:val="baseline"/>
        <w:rPr>
          <w:rStyle w:val="6"/>
          <w:rFonts w:ascii="仿宋" w:hAnsi="仿宋" w:eastAsia="仿宋" w:cs="仿宋"/>
          <w:bCs/>
          <w:kern w:val="2"/>
          <w:sz w:val="32"/>
          <w:szCs w:val="32"/>
          <w:lang w:val="en-US" w:eastAsia="zh-CN" w:bidi="ar-SA"/>
        </w:rPr>
      </w:pPr>
      <w:r>
        <w:rPr>
          <w:rStyle w:val="6"/>
          <w:rFonts w:ascii="仿宋" w:hAnsi="仿宋" w:eastAsia="仿宋" w:cs="仿宋"/>
          <w:bCs/>
          <w:kern w:val="2"/>
          <w:sz w:val="32"/>
          <w:szCs w:val="32"/>
          <w:lang w:val="en-US" w:eastAsia="zh-CN" w:bidi="ar-SA"/>
        </w:rPr>
        <w:t>纳入盘锦市2019年度部门决算编制范围的二级预算单位包括：</w:t>
      </w:r>
    </w:p>
    <w:p w14:paraId="32EECBFB">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1.盘锦市生态环境局本级</w:t>
      </w:r>
    </w:p>
    <w:p w14:paraId="6480D860">
      <w:pPr>
        <w:spacing w:line="540" w:lineRule="exact"/>
        <w:ind w:firstLine="640"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kern w:val="2"/>
          <w:sz w:val="32"/>
          <w:szCs w:val="32"/>
          <w:lang w:val="en-US" w:eastAsia="zh-CN" w:bidi="ar-SA"/>
        </w:rPr>
        <w:t>2.盘锦市绿色发展服务中心</w:t>
      </w:r>
    </w:p>
    <w:p w14:paraId="5202D31C">
      <w:pPr>
        <w:spacing w:line="360" w:lineRule="auto"/>
        <w:ind w:firstLine="640" w:firstLineChars="200"/>
        <w:jc w:val="both"/>
        <w:textAlignment w:val="baseline"/>
        <w:rPr>
          <w:rStyle w:val="6"/>
          <w:rFonts w:ascii="仿宋" w:hAnsi="仿宋" w:eastAsia="仿宋"/>
          <w:kern w:val="2"/>
          <w:sz w:val="32"/>
          <w:szCs w:val="24"/>
          <w:lang w:val="en-US" w:eastAsia="zh-CN" w:bidi="ar-SA"/>
        </w:rPr>
      </w:pPr>
      <w:r>
        <w:rPr>
          <w:rStyle w:val="6"/>
          <w:rFonts w:ascii="仿宋" w:hAnsi="仿宋" w:eastAsia="仿宋"/>
          <w:kern w:val="2"/>
          <w:sz w:val="32"/>
          <w:szCs w:val="32"/>
          <w:lang w:val="en-US" w:eastAsia="zh-CN" w:bidi="ar-SA"/>
        </w:rPr>
        <w:t>3.</w:t>
      </w:r>
      <w:r>
        <w:rPr>
          <w:rStyle w:val="6"/>
          <w:rFonts w:ascii="仿宋" w:hAnsi="仿宋" w:eastAsia="仿宋"/>
          <w:kern w:val="2"/>
          <w:sz w:val="32"/>
          <w:szCs w:val="24"/>
          <w:lang w:val="en-US" w:eastAsia="zh-CN" w:bidi="ar-SA"/>
        </w:rPr>
        <w:t>盘锦市环境监察局</w:t>
      </w:r>
    </w:p>
    <w:p w14:paraId="12C0F75D">
      <w:pPr>
        <w:spacing w:line="360" w:lineRule="auto"/>
        <w:ind w:firstLine="640" w:firstLineChars="200"/>
        <w:jc w:val="both"/>
        <w:textAlignment w:val="baseline"/>
        <w:rPr>
          <w:rStyle w:val="6"/>
          <w:rFonts w:ascii="仿宋" w:hAnsi="仿宋" w:eastAsia="仿宋"/>
          <w:kern w:val="2"/>
          <w:sz w:val="32"/>
          <w:szCs w:val="24"/>
          <w:lang w:val="en-US" w:eastAsia="zh-CN" w:bidi="ar-SA"/>
        </w:rPr>
      </w:pPr>
      <w:r>
        <w:rPr>
          <w:rStyle w:val="6"/>
          <w:rFonts w:ascii="仿宋" w:hAnsi="仿宋" w:eastAsia="仿宋"/>
          <w:kern w:val="2"/>
          <w:sz w:val="32"/>
          <w:szCs w:val="32"/>
          <w:lang w:val="en-US" w:eastAsia="zh-CN" w:bidi="ar-SA"/>
        </w:rPr>
        <w:t>4.</w:t>
      </w:r>
      <w:r>
        <w:rPr>
          <w:rStyle w:val="6"/>
          <w:rFonts w:ascii="仿宋" w:hAnsi="仿宋" w:eastAsia="仿宋"/>
          <w:kern w:val="2"/>
          <w:sz w:val="32"/>
          <w:szCs w:val="24"/>
          <w:lang w:val="en-US" w:eastAsia="zh-CN" w:bidi="ar-SA"/>
        </w:rPr>
        <w:t>辽宁省盘锦生态环境监测中心</w:t>
      </w:r>
    </w:p>
    <w:p w14:paraId="62BD1D03">
      <w:pPr>
        <w:spacing w:line="540" w:lineRule="exact"/>
        <w:ind w:firstLine="640"/>
        <w:jc w:val="left"/>
        <w:textAlignment w:val="baseline"/>
        <w:rPr>
          <w:rStyle w:val="6"/>
          <w:rFonts w:ascii="仿宋" w:hAnsi="仿宋" w:eastAsia="仿宋"/>
          <w:kern w:val="2"/>
          <w:sz w:val="32"/>
          <w:szCs w:val="24"/>
          <w:lang w:val="en-US" w:eastAsia="zh-CN" w:bidi="ar-SA"/>
        </w:rPr>
      </w:pPr>
    </w:p>
    <w:p w14:paraId="599CED0A">
      <w:pPr>
        <w:spacing w:line="540" w:lineRule="exact"/>
        <w:ind w:firstLine="1084" w:firstLineChars="300"/>
        <w:jc w:val="both"/>
        <w:textAlignment w:val="baseline"/>
        <w:rPr>
          <w:rStyle w:val="6"/>
          <w:rFonts w:ascii="宋体" w:hAnsi="宋体"/>
          <w:b/>
          <w:kern w:val="2"/>
          <w:sz w:val="36"/>
          <w:szCs w:val="36"/>
          <w:lang w:val="en-US" w:eastAsia="zh-CN" w:bidi="ar-SA"/>
        </w:rPr>
      </w:pPr>
    </w:p>
    <w:p w14:paraId="1319A6C2">
      <w:pPr>
        <w:spacing w:line="540" w:lineRule="exact"/>
        <w:ind w:firstLine="1084" w:firstLineChars="300"/>
        <w:jc w:val="both"/>
        <w:textAlignment w:val="baseline"/>
        <w:rPr>
          <w:rStyle w:val="6"/>
          <w:rFonts w:ascii="宋体" w:hAnsi="宋体"/>
          <w:b/>
          <w:kern w:val="2"/>
          <w:sz w:val="36"/>
          <w:szCs w:val="36"/>
          <w:lang w:val="en-US" w:eastAsia="zh-CN" w:bidi="ar-SA"/>
        </w:rPr>
      </w:pPr>
    </w:p>
    <w:p w14:paraId="187CF8BF">
      <w:pPr>
        <w:spacing w:line="540" w:lineRule="exact"/>
        <w:ind w:firstLine="1084" w:firstLineChars="300"/>
        <w:jc w:val="both"/>
        <w:textAlignment w:val="baseline"/>
        <w:rPr>
          <w:rStyle w:val="6"/>
          <w:rFonts w:ascii="宋体" w:hAnsi="宋体"/>
          <w:b/>
          <w:kern w:val="2"/>
          <w:sz w:val="36"/>
          <w:szCs w:val="36"/>
          <w:lang w:val="en-US" w:eastAsia="zh-CN" w:bidi="ar-SA"/>
        </w:rPr>
      </w:pPr>
    </w:p>
    <w:p w14:paraId="7033A4D9">
      <w:pPr>
        <w:spacing w:line="540" w:lineRule="exact"/>
        <w:ind w:firstLine="1084" w:firstLineChars="300"/>
        <w:jc w:val="both"/>
        <w:textAlignment w:val="baseline"/>
        <w:rPr>
          <w:rStyle w:val="6"/>
          <w:rFonts w:ascii="宋体" w:hAnsi="宋体"/>
          <w:b/>
          <w:kern w:val="2"/>
          <w:sz w:val="36"/>
          <w:szCs w:val="36"/>
          <w:lang w:val="en-US" w:eastAsia="zh-CN" w:bidi="ar-SA"/>
        </w:rPr>
      </w:pPr>
    </w:p>
    <w:p w14:paraId="672A4F74">
      <w:pPr>
        <w:spacing w:line="540" w:lineRule="exact"/>
        <w:ind w:firstLine="1084" w:firstLineChars="300"/>
        <w:jc w:val="both"/>
        <w:textAlignment w:val="baseline"/>
        <w:rPr>
          <w:rStyle w:val="6"/>
          <w:rFonts w:ascii="宋体" w:hAnsi="宋体"/>
          <w:b/>
          <w:kern w:val="2"/>
          <w:sz w:val="36"/>
          <w:szCs w:val="36"/>
          <w:lang w:val="en-US" w:eastAsia="zh-CN" w:bidi="ar-SA"/>
        </w:rPr>
      </w:pPr>
    </w:p>
    <w:p w14:paraId="71493452">
      <w:pPr>
        <w:spacing w:line="540" w:lineRule="exact"/>
        <w:ind w:firstLine="1084" w:firstLineChars="300"/>
        <w:jc w:val="both"/>
        <w:textAlignment w:val="baseline"/>
        <w:rPr>
          <w:rStyle w:val="6"/>
          <w:rFonts w:ascii="宋体" w:hAnsi="宋体"/>
          <w:b/>
          <w:kern w:val="2"/>
          <w:sz w:val="36"/>
          <w:szCs w:val="36"/>
          <w:lang w:val="en-US" w:eastAsia="zh-CN" w:bidi="ar-SA"/>
        </w:rPr>
      </w:pPr>
    </w:p>
    <w:p w14:paraId="4682B015">
      <w:pPr>
        <w:spacing w:line="540" w:lineRule="exact"/>
        <w:ind w:firstLine="1084" w:firstLineChars="300"/>
        <w:jc w:val="both"/>
        <w:textAlignment w:val="baseline"/>
        <w:rPr>
          <w:rStyle w:val="6"/>
          <w:rFonts w:ascii="宋体" w:hAnsi="宋体"/>
          <w:b/>
          <w:kern w:val="2"/>
          <w:sz w:val="36"/>
          <w:szCs w:val="36"/>
          <w:lang w:val="en-US" w:eastAsia="zh-CN" w:bidi="ar-SA"/>
        </w:rPr>
      </w:pPr>
    </w:p>
    <w:p w14:paraId="28DF425F">
      <w:pPr>
        <w:spacing w:line="540" w:lineRule="exact"/>
        <w:ind w:firstLine="1084" w:firstLineChars="300"/>
        <w:jc w:val="both"/>
        <w:textAlignment w:val="baseline"/>
        <w:rPr>
          <w:rStyle w:val="6"/>
          <w:rFonts w:ascii="宋体" w:hAnsi="宋体"/>
          <w:b/>
          <w:kern w:val="2"/>
          <w:sz w:val="36"/>
          <w:szCs w:val="36"/>
          <w:lang w:val="en-US" w:eastAsia="zh-CN" w:bidi="ar-SA"/>
        </w:rPr>
      </w:pPr>
    </w:p>
    <w:p w14:paraId="17C7B211">
      <w:pPr>
        <w:spacing w:line="540" w:lineRule="exact"/>
        <w:ind w:firstLine="1084" w:firstLineChars="300"/>
        <w:jc w:val="both"/>
        <w:textAlignment w:val="baseline"/>
        <w:rPr>
          <w:rStyle w:val="6"/>
          <w:rFonts w:ascii="宋体" w:hAnsi="宋体"/>
          <w:b/>
          <w:kern w:val="2"/>
          <w:sz w:val="36"/>
          <w:szCs w:val="36"/>
          <w:lang w:val="en-US" w:eastAsia="zh-CN" w:bidi="ar-SA"/>
        </w:rPr>
      </w:pPr>
      <w:r>
        <w:rPr>
          <w:rStyle w:val="6"/>
          <w:rFonts w:ascii="宋体" w:hAnsi="宋体"/>
          <w:b/>
          <w:kern w:val="2"/>
          <w:sz w:val="36"/>
          <w:szCs w:val="36"/>
          <w:lang w:val="en-US" w:eastAsia="zh-CN" w:bidi="ar-SA"/>
        </w:rPr>
        <w:t>第二部分    盘锦市生态环境局2019年度部门决算报表</w:t>
      </w:r>
    </w:p>
    <w:p w14:paraId="231BA051">
      <w:pPr>
        <w:spacing w:line="540" w:lineRule="exact"/>
        <w:jc w:val="both"/>
        <w:textAlignment w:val="baseline"/>
        <w:rPr>
          <w:rStyle w:val="6"/>
          <w:rFonts w:ascii="仿宋_GB2312" w:eastAsia="仿宋_GB2312"/>
          <w:kern w:val="2"/>
          <w:sz w:val="32"/>
          <w:szCs w:val="32"/>
          <w:lang w:val="en-US" w:eastAsia="zh-CN" w:bidi="ar-SA"/>
        </w:rPr>
      </w:pPr>
    </w:p>
    <w:p w14:paraId="35C3D86F">
      <w:pPr>
        <w:spacing w:line="540" w:lineRule="exact"/>
        <w:ind w:firstLine="640" w:firstLineChars="200"/>
        <w:jc w:val="both"/>
        <w:textAlignment w:val="baseline"/>
        <w:rPr>
          <w:rStyle w:val="6"/>
          <w:rFonts w:ascii="宋体" w:hAnsi="宋体"/>
          <w:color w:val="000000"/>
          <w:kern w:val="0"/>
          <w:sz w:val="32"/>
          <w:szCs w:val="32"/>
          <w:lang w:val="en-US" w:eastAsia="zh-CN" w:bidi="ar-SA"/>
        </w:rPr>
      </w:pPr>
      <w:r>
        <w:rPr>
          <w:rStyle w:val="6"/>
          <w:rFonts w:ascii="仿宋_GB2312" w:eastAsia="仿宋_GB2312"/>
          <w:kern w:val="2"/>
          <w:sz w:val="32"/>
          <w:szCs w:val="32"/>
          <w:lang w:val="en-US" w:eastAsia="zh-CN" w:bidi="ar-SA"/>
        </w:rPr>
        <w:t>一、</w:t>
      </w:r>
      <w:r>
        <w:rPr>
          <w:rStyle w:val="6"/>
          <w:rFonts w:ascii="仿宋_GB2312" w:hAnsi="仿宋" w:eastAsia="仿宋_GB2312"/>
          <w:kern w:val="2"/>
          <w:sz w:val="32"/>
          <w:szCs w:val="32"/>
          <w:lang w:val="en-US" w:eastAsia="zh-CN" w:bidi="ar-SA"/>
        </w:rPr>
        <w:t>2019年度收入支出决算总表</w:t>
      </w:r>
    </w:p>
    <w:p w14:paraId="03C82559">
      <w:pPr>
        <w:spacing w:line="54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二、219</w:t>
      </w:r>
      <w:r>
        <w:rPr>
          <w:rStyle w:val="6"/>
          <w:rFonts w:ascii="仿宋_GB2312" w:hAnsi="仿宋" w:eastAsia="仿宋_GB2312"/>
          <w:kern w:val="2"/>
          <w:sz w:val="32"/>
          <w:szCs w:val="32"/>
          <w:lang w:val="en-US" w:eastAsia="zh-CN" w:bidi="ar-SA"/>
        </w:rPr>
        <w:t>年度</w:t>
      </w:r>
      <w:r>
        <w:rPr>
          <w:rStyle w:val="6"/>
          <w:rFonts w:ascii="仿宋_GB2312" w:eastAsia="仿宋_GB2312"/>
          <w:kern w:val="2"/>
          <w:sz w:val="32"/>
          <w:szCs w:val="32"/>
          <w:lang w:val="en-US" w:eastAsia="zh-CN" w:bidi="ar-SA"/>
        </w:rPr>
        <w:t>收入决算表</w:t>
      </w:r>
    </w:p>
    <w:p w14:paraId="66F98729">
      <w:pPr>
        <w:spacing w:line="54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三、2019</w:t>
      </w:r>
      <w:r>
        <w:rPr>
          <w:rStyle w:val="6"/>
          <w:rFonts w:ascii="仿宋_GB2312" w:hAnsi="仿宋" w:eastAsia="仿宋_GB2312"/>
          <w:kern w:val="2"/>
          <w:sz w:val="32"/>
          <w:szCs w:val="32"/>
          <w:lang w:val="en-US" w:eastAsia="zh-CN" w:bidi="ar-SA"/>
        </w:rPr>
        <w:t>年度</w:t>
      </w:r>
      <w:r>
        <w:rPr>
          <w:rStyle w:val="6"/>
          <w:rFonts w:ascii="仿宋_GB2312" w:eastAsia="仿宋_GB2312"/>
          <w:kern w:val="2"/>
          <w:sz w:val="32"/>
          <w:szCs w:val="32"/>
          <w:lang w:val="en-US" w:eastAsia="zh-CN" w:bidi="ar-SA"/>
        </w:rPr>
        <w:t>支出决算表</w:t>
      </w:r>
    </w:p>
    <w:p w14:paraId="367F4507">
      <w:pPr>
        <w:spacing w:line="54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四、</w:t>
      </w:r>
      <w:r>
        <w:rPr>
          <w:rStyle w:val="6"/>
          <w:rFonts w:ascii="仿宋_GB2312" w:hAnsi="仿宋" w:eastAsia="仿宋_GB2312"/>
          <w:kern w:val="2"/>
          <w:sz w:val="32"/>
          <w:szCs w:val="32"/>
          <w:lang w:val="en-US" w:eastAsia="zh-CN" w:bidi="ar-SA"/>
        </w:rPr>
        <w:t>2019年度财政拨款收入支出决算表</w:t>
      </w:r>
    </w:p>
    <w:p w14:paraId="31E27E42">
      <w:pPr>
        <w:spacing w:line="54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五、2019年度一般公共预算财政拨款收入支出决算表</w:t>
      </w:r>
    </w:p>
    <w:p w14:paraId="37DC11B0">
      <w:pPr>
        <w:spacing w:line="54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六、2019年度一般公共预算财政拨款基本支出决算表</w:t>
      </w:r>
    </w:p>
    <w:p w14:paraId="091FA94B">
      <w:pPr>
        <w:spacing w:line="540" w:lineRule="exact"/>
        <w:ind w:firstLine="640" w:firstLineChars="200"/>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七、2019年度政府性基金预算财政拨款收入支出决算表</w:t>
      </w:r>
    </w:p>
    <w:p w14:paraId="3245DDDD">
      <w:pPr>
        <w:spacing w:line="540" w:lineRule="exact"/>
        <w:ind w:left="638" w:leftChars="304"/>
        <w:jc w:val="both"/>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八、2019</w:t>
      </w:r>
      <w:r>
        <w:rPr>
          <w:rStyle w:val="6"/>
          <w:rFonts w:ascii="仿宋_GB2312" w:hAnsi="仿宋" w:eastAsia="仿宋_GB2312"/>
          <w:kern w:val="2"/>
          <w:sz w:val="32"/>
          <w:szCs w:val="32"/>
          <w:lang w:val="en-US" w:eastAsia="zh-CN" w:bidi="ar-SA"/>
        </w:rPr>
        <w:t>年度</w:t>
      </w:r>
      <w:r>
        <w:rPr>
          <w:rStyle w:val="6"/>
          <w:rFonts w:ascii="仿宋_GB2312" w:eastAsia="仿宋_GB2312"/>
          <w:kern w:val="2"/>
          <w:sz w:val="32"/>
          <w:szCs w:val="32"/>
          <w:lang w:val="en-US" w:eastAsia="zh-CN" w:bidi="ar-SA"/>
        </w:rPr>
        <w:t>一般公共预算财政拨款“三公”经费支出决算表</w:t>
      </w:r>
    </w:p>
    <w:p w14:paraId="1F30F8D9">
      <w:pPr>
        <w:spacing w:line="540" w:lineRule="exact"/>
        <w:ind w:firstLine="640" w:firstLineChars="200"/>
        <w:jc w:val="left"/>
        <w:textAlignment w:val="baseline"/>
        <w:rPr>
          <w:rStyle w:val="6"/>
          <w:rFonts w:ascii="仿宋_GB2312" w:eastAsia="仿宋_GB2312"/>
          <w:kern w:val="2"/>
          <w:sz w:val="32"/>
          <w:szCs w:val="32"/>
          <w:lang w:val="en-US" w:eastAsia="zh-CN" w:bidi="ar-SA"/>
        </w:rPr>
      </w:pPr>
      <w:r>
        <w:rPr>
          <w:rStyle w:val="6"/>
          <w:rFonts w:ascii="仿宋_GB2312" w:eastAsia="仿宋_GB2312"/>
          <w:kern w:val="2"/>
          <w:sz w:val="32"/>
          <w:szCs w:val="32"/>
          <w:lang w:val="en-US" w:eastAsia="zh-CN" w:bidi="ar-SA"/>
        </w:rPr>
        <w:t>详见：《盘锦市生态环境局2019年度部门决算公开表》</w:t>
      </w:r>
    </w:p>
    <w:p w14:paraId="01BB81AE">
      <w:pPr>
        <w:spacing w:line="540" w:lineRule="exact"/>
        <w:ind w:firstLine="640" w:firstLineChars="200"/>
        <w:jc w:val="left"/>
        <w:textAlignment w:val="baseline"/>
        <w:rPr>
          <w:rStyle w:val="6"/>
          <w:rFonts w:ascii="仿宋_GB2312" w:eastAsia="仿宋_GB2312"/>
          <w:kern w:val="2"/>
          <w:sz w:val="32"/>
          <w:szCs w:val="32"/>
          <w:lang w:val="en-US" w:eastAsia="zh-CN" w:bidi="ar-SA"/>
        </w:rPr>
      </w:pPr>
    </w:p>
    <w:p w14:paraId="46DF0E91">
      <w:pPr>
        <w:spacing w:line="540" w:lineRule="exact"/>
        <w:jc w:val="left"/>
        <w:textAlignment w:val="baseline"/>
        <w:rPr>
          <w:rStyle w:val="6"/>
          <w:rFonts w:ascii="仿宋_GB2312" w:eastAsia="仿宋_GB2312"/>
          <w:kern w:val="2"/>
          <w:sz w:val="32"/>
          <w:szCs w:val="32"/>
          <w:lang w:val="en-US" w:eastAsia="zh-CN" w:bidi="ar-SA"/>
        </w:rPr>
        <w:sectPr>
          <w:footerReference r:id="rId3" w:type="default"/>
          <w:footerReference r:id="rId4" w:type="even"/>
          <w:pgSz w:w="11906" w:h="16838"/>
          <w:pgMar w:top="1418" w:right="1701" w:bottom="1418" w:left="1701" w:header="851" w:footer="992" w:gutter="0"/>
          <w:paperSrc/>
          <w:lnNumType w:countBy="0"/>
          <w:cols w:space="720" w:num="1"/>
          <w:vAlign w:val="top"/>
          <w:docGrid w:type="lines" w:linePitch="312" w:charSpace="0"/>
        </w:sectPr>
      </w:pPr>
    </w:p>
    <w:tbl>
      <w:tblPr>
        <w:tblStyle w:val="4"/>
        <w:tblpPr w:leftFromText="180" w:rightFromText="180" w:horzAnchor="page" w:tblpX="1203" w:tblpY="-1702"/>
        <w:tblW w:w="149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918"/>
      </w:tblGrid>
      <w:tr w14:paraId="06D1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4918" w:type="dxa"/>
            <w:vAlign w:val="center"/>
          </w:tcPr>
          <w:p w14:paraId="6BFBBAE6">
            <w:pPr>
              <w:widowControl/>
              <w:spacing w:line="540" w:lineRule="exact"/>
              <w:jc w:val="left"/>
              <w:textAlignment w:val="baseline"/>
              <w:rPr>
                <w:rStyle w:val="6"/>
                <w:rFonts w:eastAsia="Times New Roman"/>
                <w:kern w:val="0"/>
                <w:sz w:val="20"/>
                <w:szCs w:val="20"/>
                <w:lang w:val="en-US" w:eastAsia="zh-CN" w:bidi="ar-SA"/>
              </w:rPr>
            </w:pPr>
          </w:p>
        </w:tc>
      </w:tr>
    </w:tbl>
    <w:p w14:paraId="05C5C8E0">
      <w:pPr>
        <w:spacing w:line="540" w:lineRule="exact"/>
        <w:jc w:val="center"/>
        <w:textAlignment w:val="baseline"/>
        <w:rPr>
          <w:rStyle w:val="6"/>
          <w:rFonts w:ascii="宋体" w:hAnsi="宋体"/>
          <w:b/>
          <w:kern w:val="2"/>
          <w:sz w:val="36"/>
          <w:szCs w:val="36"/>
          <w:lang w:val="en-US" w:eastAsia="zh-CN" w:bidi="ar-SA"/>
        </w:rPr>
      </w:pPr>
      <w:r>
        <w:rPr>
          <w:rStyle w:val="6"/>
          <w:rFonts w:ascii="宋体" w:hAnsi="宋体"/>
          <w:b/>
          <w:kern w:val="2"/>
          <w:sz w:val="36"/>
          <w:szCs w:val="36"/>
          <w:lang w:val="en-US" w:eastAsia="zh-CN" w:bidi="ar-SA"/>
        </w:rPr>
        <w:t>第三部分 盘锦市生态环境局2019年度部门决算情况说明</w:t>
      </w:r>
    </w:p>
    <w:p w14:paraId="2829969D">
      <w:pPr>
        <w:spacing w:line="540" w:lineRule="exact"/>
        <w:jc w:val="both"/>
        <w:textAlignment w:val="baseline"/>
        <w:rPr>
          <w:rStyle w:val="6"/>
          <w:rFonts w:ascii="宋体" w:hAnsi="宋体"/>
          <w:b/>
          <w:kern w:val="2"/>
          <w:sz w:val="36"/>
          <w:szCs w:val="36"/>
          <w:lang w:val="en-US" w:eastAsia="zh-CN" w:bidi="ar-SA"/>
        </w:rPr>
      </w:pPr>
    </w:p>
    <w:p w14:paraId="49C77EA7">
      <w:pPr>
        <w:spacing w:line="540" w:lineRule="exact"/>
        <w:ind w:firstLine="627" w:firstLineChars="196"/>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一、收入支出决算总体情况</w:t>
      </w:r>
    </w:p>
    <w:p w14:paraId="17411129">
      <w:pPr>
        <w:spacing w:line="540" w:lineRule="exact"/>
        <w:ind w:firstLine="660"/>
        <w:jc w:val="both"/>
        <w:textAlignment w:val="baseline"/>
        <w:rPr>
          <w:rStyle w:val="6"/>
          <w:rFonts w:ascii="楷体_GB2312" w:hAnsi="宋体" w:eastAsia="楷体_GB2312"/>
          <w:b/>
          <w:kern w:val="2"/>
          <w:sz w:val="32"/>
          <w:szCs w:val="32"/>
          <w:lang w:val="en-US" w:eastAsia="zh-CN" w:bidi="ar-SA"/>
        </w:rPr>
      </w:pPr>
      <w:r>
        <w:rPr>
          <w:rStyle w:val="6"/>
          <w:rFonts w:ascii="楷体_GB2312" w:hAnsi="宋体" w:eastAsia="楷体_GB2312"/>
          <w:b/>
          <w:kern w:val="2"/>
          <w:sz w:val="32"/>
          <w:szCs w:val="32"/>
          <w:lang w:val="en-US" w:eastAsia="zh-CN" w:bidi="ar-SA"/>
        </w:rPr>
        <w:t>（一）收入总计7858.7万元，包括：</w:t>
      </w:r>
    </w:p>
    <w:p w14:paraId="69848322">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1.财政拨款收入4252.12万元，占收入总计的54%。其中：公共预算财政拨款收入4252.12万元，政府性基金收入0万元。</w:t>
      </w:r>
    </w:p>
    <w:p w14:paraId="5E97C326">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2.上级补助收入0万元，占收入总计的0%。</w:t>
      </w:r>
    </w:p>
    <w:p w14:paraId="44A63CD6">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3.事业收入0万元，占收入总计的0%。</w:t>
      </w:r>
    </w:p>
    <w:p w14:paraId="1A1849F9">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4.经营收入0万元，占收入总计的0%。</w:t>
      </w:r>
    </w:p>
    <w:p w14:paraId="2796F732">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5.附属单位上缴收入0万元，占收入总计的0%。</w:t>
      </w:r>
    </w:p>
    <w:p w14:paraId="5D313DD5">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6.其他收入71.22万元，占收入总计的1%。主要是非本级财政拨款等收入。</w:t>
      </w:r>
    </w:p>
    <w:p w14:paraId="4357E6E5">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7.用事业基金弥补收支差额0万元，占收入总计的0%。</w:t>
      </w:r>
    </w:p>
    <w:p w14:paraId="6529CC66">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8.上年结转和结余3535.36万元，占收入总计的45%。主要是节能环保项目款结转等。</w:t>
      </w:r>
    </w:p>
    <w:p w14:paraId="69F6D8C4">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与上年相比，今年收入减少3563.55万元，降低31.20%，主要原因：一是财政拨款减少；二是国家、省环保专项资金收入减少。</w:t>
      </w:r>
    </w:p>
    <w:p w14:paraId="0999199F">
      <w:pPr>
        <w:spacing w:line="540" w:lineRule="exact"/>
        <w:ind w:firstLine="660"/>
        <w:jc w:val="both"/>
        <w:textAlignment w:val="baseline"/>
        <w:rPr>
          <w:rStyle w:val="6"/>
          <w:rFonts w:ascii="楷体_GB2312" w:hAnsi="宋体" w:eastAsia="楷体_GB2312"/>
          <w:b/>
          <w:kern w:val="2"/>
          <w:sz w:val="32"/>
          <w:szCs w:val="32"/>
          <w:lang w:val="en-US" w:eastAsia="zh-CN" w:bidi="ar-SA"/>
        </w:rPr>
      </w:pPr>
      <w:r>
        <w:rPr>
          <w:rStyle w:val="6"/>
          <w:rFonts w:ascii="楷体_GB2312" w:hAnsi="宋体" w:eastAsia="楷体_GB2312"/>
          <w:b/>
          <w:kern w:val="2"/>
          <w:sz w:val="32"/>
          <w:szCs w:val="32"/>
          <w:lang w:val="en-US" w:eastAsia="zh-CN" w:bidi="ar-SA"/>
        </w:rPr>
        <w:t>（二）支出总计5398.51万元，包括：</w:t>
      </w:r>
    </w:p>
    <w:p w14:paraId="0EBFEA91">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1.基本支出3496.12万元，占支出总计的64.76%。主要是为保障机构正常运转、完成日常工作任务而发生的各项支出，其中：工资福利支出3034.73万元，对个人和家庭的补助支出71.93万元，商品和服务支出369.58万元，资本性支出19.88万元。</w:t>
      </w:r>
    </w:p>
    <w:p w14:paraId="08A7D8C6">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2.项目支出1902.39万元，占支出总计的35.24%。主要包括节能环保等业务支出。</w:t>
      </w:r>
    </w:p>
    <w:p w14:paraId="6FE2D9BA">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3.上缴上级支出0万元，占支出总计的0%。</w:t>
      </w:r>
    </w:p>
    <w:p w14:paraId="0C5E386C">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4.经营支出0万元，占支出总计的0%。</w:t>
      </w:r>
    </w:p>
    <w:p w14:paraId="294D1BDC">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5.对附属单位补助支出0万元，占支出总计的0%。</w:t>
      </w:r>
    </w:p>
    <w:p w14:paraId="69654764">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与上年相比，今年支出减少3225.96万元，降低37.4%，主要原因：是项目支出减少。</w:t>
      </w:r>
    </w:p>
    <w:p w14:paraId="64C16012">
      <w:pPr>
        <w:spacing w:line="540" w:lineRule="exact"/>
        <w:ind w:firstLine="660"/>
        <w:jc w:val="both"/>
        <w:textAlignment w:val="baseline"/>
        <w:rPr>
          <w:rStyle w:val="6"/>
          <w:rFonts w:ascii="楷体_GB2312" w:hAnsi="宋体" w:eastAsia="楷体_GB2312"/>
          <w:b/>
          <w:kern w:val="2"/>
          <w:sz w:val="32"/>
          <w:szCs w:val="32"/>
          <w:lang w:val="en-US" w:eastAsia="zh-CN" w:bidi="ar-SA"/>
        </w:rPr>
      </w:pPr>
      <w:r>
        <w:rPr>
          <w:rStyle w:val="6"/>
          <w:rFonts w:ascii="楷体_GB2312" w:hAnsi="宋体" w:eastAsia="楷体_GB2312"/>
          <w:b/>
          <w:kern w:val="2"/>
          <w:sz w:val="32"/>
          <w:szCs w:val="32"/>
          <w:lang w:val="en-US" w:eastAsia="zh-CN" w:bidi="ar-SA"/>
        </w:rPr>
        <w:t>（三）年末结转和结余2460.19万元。</w:t>
      </w:r>
    </w:p>
    <w:p w14:paraId="2BD49132">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主要是</w:t>
      </w:r>
      <w:r>
        <w:rPr>
          <w:rStyle w:val="6"/>
          <w:rFonts w:hint="eastAsia" w:ascii="仿宋_GB2312" w:hAnsi="宋体" w:eastAsia="仿宋_GB2312"/>
          <w:kern w:val="2"/>
          <w:sz w:val="32"/>
          <w:szCs w:val="32"/>
          <w:lang w:val="en-US" w:eastAsia="zh-CN" w:bidi="ar-SA"/>
        </w:rPr>
        <w:t>部分</w:t>
      </w:r>
      <w:r>
        <w:rPr>
          <w:rStyle w:val="6"/>
          <w:rFonts w:ascii="仿宋_GB2312" w:hAnsi="宋体" w:eastAsia="仿宋_GB2312"/>
          <w:kern w:val="2"/>
          <w:sz w:val="32"/>
          <w:szCs w:val="32"/>
          <w:lang w:val="en-US" w:eastAsia="zh-CN" w:bidi="ar-SA"/>
        </w:rPr>
        <w:t>项目资金形成的结余。与上年相比，今年结转减少1075.17万元，降低30.41%，主要原因：</w:t>
      </w:r>
      <w:r>
        <w:rPr>
          <w:rStyle w:val="6"/>
          <w:rFonts w:ascii="宋体" w:hAnsi="宋体"/>
          <w:kern w:val="2"/>
          <w:sz w:val="36"/>
          <w:szCs w:val="36"/>
          <w:lang w:val="en-US" w:eastAsia="zh-CN" w:bidi="ar-SA"/>
        </w:rPr>
        <w:t>一</w:t>
      </w:r>
      <w:r>
        <w:rPr>
          <w:rStyle w:val="6"/>
          <w:rFonts w:ascii="仿宋_GB2312" w:hAnsi="宋体" w:eastAsia="仿宋_GB2312"/>
          <w:kern w:val="2"/>
          <w:sz w:val="32"/>
          <w:szCs w:val="32"/>
          <w:lang w:val="en-US" w:eastAsia="zh-CN" w:bidi="ar-SA"/>
        </w:rPr>
        <w:t>是本年收入减少，二是环保专项完成进度较好，项目支出结转减少。</w:t>
      </w:r>
    </w:p>
    <w:p w14:paraId="7CB4F91A">
      <w:pPr>
        <w:spacing w:line="540" w:lineRule="exact"/>
        <w:ind w:firstLine="660"/>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二、财政拨款支出决算情况</w:t>
      </w:r>
    </w:p>
    <w:p w14:paraId="5D46EEEF">
      <w:pPr>
        <w:spacing w:line="540" w:lineRule="exact"/>
        <w:ind w:firstLine="660"/>
        <w:jc w:val="both"/>
        <w:textAlignment w:val="baseline"/>
        <w:rPr>
          <w:rStyle w:val="6"/>
          <w:rFonts w:ascii="楷体_GB2312" w:hAnsi="宋体" w:eastAsia="楷体_GB2312"/>
          <w:b/>
          <w:kern w:val="2"/>
          <w:sz w:val="32"/>
          <w:szCs w:val="32"/>
          <w:lang w:val="en-US" w:eastAsia="zh-CN" w:bidi="ar-SA"/>
        </w:rPr>
      </w:pPr>
      <w:r>
        <w:rPr>
          <w:rStyle w:val="6"/>
          <w:rFonts w:ascii="楷体_GB2312" w:hAnsi="宋体" w:eastAsia="楷体_GB2312"/>
          <w:b/>
          <w:kern w:val="2"/>
          <w:sz w:val="32"/>
          <w:szCs w:val="32"/>
          <w:lang w:val="en-US" w:eastAsia="zh-CN" w:bidi="ar-SA"/>
        </w:rPr>
        <w:t>（一）总体情况。</w:t>
      </w:r>
    </w:p>
    <w:p w14:paraId="1463CEDC">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2019年度财政拨款支出4586.11万元，其中：基本支出3496.06万元，项目支出1090.05万元。与上年相比，财政拨款支出减少3260.55万元，降低41.55%，主要原因：是同级财政拨款减少。与年初预算相比，2019财政拨款支出完成年初预算的103.55%，其中：基本支出完成年初预算的95.89%，项目完成年初预算的149.62%。</w:t>
      </w:r>
      <w:bookmarkStart w:id="0" w:name="_GoBack"/>
      <w:bookmarkEnd w:id="0"/>
    </w:p>
    <w:p w14:paraId="74E3681B">
      <w:pPr>
        <w:spacing w:line="540" w:lineRule="exact"/>
        <w:ind w:firstLine="660"/>
        <w:jc w:val="both"/>
        <w:textAlignment w:val="baseline"/>
        <w:rPr>
          <w:rStyle w:val="6"/>
          <w:rFonts w:ascii="楷体_GB2312" w:hAnsi="宋体" w:eastAsia="楷体_GB2312"/>
          <w:b/>
          <w:kern w:val="2"/>
          <w:sz w:val="32"/>
          <w:szCs w:val="32"/>
          <w:lang w:val="en-US" w:eastAsia="zh-CN" w:bidi="ar-SA"/>
        </w:rPr>
      </w:pPr>
      <w:r>
        <w:rPr>
          <w:rStyle w:val="6"/>
          <w:rFonts w:ascii="楷体_GB2312" w:hAnsi="宋体" w:eastAsia="楷体_GB2312"/>
          <w:b/>
          <w:kern w:val="2"/>
          <w:sz w:val="32"/>
          <w:szCs w:val="32"/>
          <w:lang w:val="en-US" w:eastAsia="zh-CN" w:bidi="ar-SA"/>
        </w:rPr>
        <w:t>（二）具体情况。</w:t>
      </w:r>
    </w:p>
    <w:p w14:paraId="0EC78B10">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2019年度财政拨款支出4586.11万元，按支出功能分类科目分，包括：社会保障和就业支出462.33万元，占10.1%；卫生健康支出124.5万元，占2.71%；住房保障支出214.16万元，占4.7%；节能环保支出3577.27万元，占78.07%；城乡社区支出183.1万元，占4%；农林水支出17.90万元，占0.4%，债务付息支出6.85万元，占0.02%。</w:t>
      </w:r>
    </w:p>
    <w:p w14:paraId="36A13BEF">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1社会保障和就业支出462.33万元，具体包括：</w:t>
      </w:r>
    </w:p>
    <w:p w14:paraId="70932700">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（1）归口管理的行政单位离退休10.46万元，主要是离退休人员工资等支出，完成年初预算的59.58%，决算数小于年初预算数的原因主要是离退休人员去世。</w:t>
      </w:r>
    </w:p>
    <w:p w14:paraId="620DDA81">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（2）事业单位离退休21.49万元，主要是事业单位离退休人员取暖费等支出，完成年初预算的99.4%。决算数小于年初预算数的原因主要是机构改革人员变动。</w:t>
      </w:r>
    </w:p>
    <w:p w14:paraId="182056B5">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（3）机关事业单位基本养老保险缴费291.65万元，主要是缴纳机关事业单位基本养老保险缴费等支出，完成年初预算的76.74%，决算数小于年初预算数的原因主要是缴费比例减少。</w:t>
      </w:r>
    </w:p>
    <w:p w14:paraId="68B4647F">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（4）死亡抚恤41.65万元，主要是退休人员死亡抚恤金等支出，完成年初预算的100%。</w:t>
      </w:r>
    </w:p>
    <w:p w14:paraId="0BBE7723">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（5）机关事业单位职业年金缴费支出90.59万元，主要是缴纳机关事业单位职业年金，完成年初预算的93.39%，决算数小于年初预算数的原因主要是缴费基数减少。</w:t>
      </w:r>
    </w:p>
    <w:p w14:paraId="40653007">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（6）其他社会保障和就业支出6.49万元，主要是缴纳职工失业保险等，完成年初预算的96.15%，决算数小于年初预算数的原因主要是缴费基数减少。</w:t>
      </w:r>
    </w:p>
    <w:p w14:paraId="54F38874">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2.卫生健康支出124.5万元，包括：</w:t>
      </w:r>
    </w:p>
    <w:p w14:paraId="33508424">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（1）行政单位医疗13.7万元，主要是行政单位职工基本医疗保险缴费等支出，完成年初预算的98.78%，决算数小于年初预算数的原因主要是缴费基数减少。</w:t>
      </w:r>
    </w:p>
    <w:p w14:paraId="74F13D6E">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（2）事业单位医疗106.74万元，主要是事业单位职工基本医疗保险缴费等支出，完成年初预算的92.44%，决算数小于年初预算数的原因主要是缴费基数减少。</w:t>
      </w:r>
    </w:p>
    <w:p w14:paraId="4F5C5B33">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（3）其他行政事业单位医疗支出4.06万元，主要是事业单位职工工伤保险缴费，完成年初预算的85.47%，决算数小于年初预算数的原因主要是缴费基数减少。</w:t>
      </w:r>
    </w:p>
    <w:p w14:paraId="1CF0F136">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3.农林水事务支出17.9万元，具体包括：</w:t>
      </w:r>
    </w:p>
    <w:p w14:paraId="35D640DB">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（1）行政运行17.9万元，主要是人员工资福利支出等，完成年初预算的92.08%，决算数小于年初预算数的原因主要是保险缴费比例减少。</w:t>
      </w:r>
    </w:p>
    <w:p w14:paraId="44234F4C">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4.住房保障支出214.16万元，具体包括：</w:t>
      </w:r>
    </w:p>
    <w:p w14:paraId="510CA3F8">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住房公积金214.16万元，主要是缴纳职工住房公积金等支出，完成年初预算的96.18%，决算数小于年初预算数的原因主要是缴费基数减少。</w:t>
      </w:r>
    </w:p>
    <w:p w14:paraId="73AF0658">
      <w:pPr>
        <w:spacing w:line="540" w:lineRule="exact"/>
        <w:ind w:firstLine="640" w:firstLineChars="20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5.节能环保支出3577.27万元，具体包括：</w:t>
      </w:r>
    </w:p>
    <w:p w14:paraId="1C7E99AB">
      <w:pPr>
        <w:numPr>
          <w:ilvl w:val="0"/>
          <w:numId w:val="3"/>
        </w:numPr>
        <w:spacing w:line="540" w:lineRule="exact"/>
        <w:ind w:firstLine="640" w:firstLineChars="20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环境保护管理事务2329.25万元，主要是行政运行309.51万元，其他环境保护管理事务支出2019.74万元。完成年初预算的91.49%，决算数小于年初预算数的原因主要是环保专项资金项目按照工程进度拨款。</w:t>
      </w:r>
    </w:p>
    <w:p w14:paraId="00741BFF">
      <w:pPr>
        <w:numPr>
          <w:ilvl w:val="0"/>
          <w:numId w:val="3"/>
        </w:numPr>
        <w:spacing w:line="540" w:lineRule="exact"/>
        <w:ind w:firstLine="640" w:firstLineChars="20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环境监测与监察924.07万元，主要是其他环境监测与监察支出。完成年初预算的121.8%，决算数大于年初预算数的原因主要是增加部分由上年结转的专项资金支出。</w:t>
      </w:r>
    </w:p>
    <w:p w14:paraId="43D4E0C4">
      <w:pPr>
        <w:numPr>
          <w:ilvl w:val="0"/>
          <w:numId w:val="3"/>
        </w:numPr>
        <w:spacing w:line="540" w:lineRule="exact"/>
        <w:ind w:firstLine="640" w:firstLineChars="20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污染防治323.95万元，主要是大气污染防治等支出，由上年结转专项支出，决算数大于年初预算数的原因主要是增加部分由上年专项资金结转。</w:t>
      </w:r>
    </w:p>
    <w:p w14:paraId="56D25998">
      <w:pPr>
        <w:spacing w:line="540" w:lineRule="exact"/>
        <w:ind w:firstLine="640" w:firstLineChars="20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6.城乡社区支出183.1万元，具体包括：</w:t>
      </w:r>
    </w:p>
    <w:p w14:paraId="6A67F222">
      <w:pPr>
        <w:spacing w:line="540" w:lineRule="exact"/>
        <w:ind w:firstLine="640" w:firstLineChars="20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代征手续费183.1万元，主要是其他污水手续费安排的支出，完成年初预算的100%。</w:t>
      </w:r>
    </w:p>
    <w:p w14:paraId="79FBFC2D">
      <w:pPr>
        <w:spacing w:line="540" w:lineRule="exact"/>
        <w:ind w:left="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7.债务付息支出6.85万元，具体包括：</w:t>
      </w:r>
    </w:p>
    <w:p w14:paraId="1A0C27B4">
      <w:pPr>
        <w:spacing w:line="540" w:lineRule="exact"/>
        <w:ind w:left="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地方政府向国际组织借款付息支出6.85万元，主要是世</w:t>
      </w:r>
    </w:p>
    <w:p w14:paraId="5FE6AB05">
      <w:pPr>
        <w:spacing w:line="540" w:lineRule="exact"/>
        <w:jc w:val="both"/>
        <w:textAlignment w:val="baseline"/>
        <w:rPr>
          <w:rStyle w:val="6"/>
          <w:rFonts w:ascii="仿宋_GB2312" w:hAnsi="宋体" w:eastAsia="仿宋_GB2312" w:cs="Times New Roman"/>
          <w:b/>
          <w:bCs/>
          <w:color w:val="FF0000"/>
          <w:kern w:val="2"/>
          <w:sz w:val="32"/>
          <w:szCs w:val="32"/>
          <w:lang w:val="en-US" w:eastAsia="zh-CN" w:bidi="ar-SA"/>
        </w:rPr>
      </w:pPr>
      <w:r>
        <w:rPr>
          <w:rStyle w:val="6"/>
          <w:rFonts w:ascii="仿宋_GB2312" w:hAnsi="宋体" w:eastAsia="仿宋_GB2312"/>
          <w:kern w:val="2"/>
          <w:sz w:val="32"/>
          <w:szCs w:val="32"/>
          <w:lang w:val="en-US" w:eastAsia="zh-CN" w:bidi="ar-SA"/>
        </w:rPr>
        <w:t>行贷款付息支出，完成年初预算的100%。</w:t>
      </w:r>
    </w:p>
    <w:p w14:paraId="2FE848D5">
      <w:pPr>
        <w:spacing w:line="540" w:lineRule="exact"/>
        <w:ind w:firstLine="660"/>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三、一般公共预算财政拨款“三公”经费支出决算情况</w:t>
      </w:r>
    </w:p>
    <w:p w14:paraId="7BA6DD62">
      <w:pPr>
        <w:spacing w:line="540" w:lineRule="exact"/>
        <w:ind w:firstLine="66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2019年度一般公共预算财政拨款安排的“三公”经费支出56.77万元，完成年初预算的85.21%，决算数小于年初预算数的主要原因是公务用车维护费减少。与上年相比，今年“三公”经费支出减少15.75万元，降低21.72%，主要原因</w:t>
      </w:r>
      <w:r>
        <w:rPr>
          <w:rStyle w:val="6"/>
          <w:rFonts w:ascii="宋体" w:hAnsi="宋体"/>
          <w:b/>
          <w:kern w:val="2"/>
          <w:sz w:val="32"/>
          <w:szCs w:val="32"/>
          <w:lang w:val="en-US" w:eastAsia="zh-CN" w:bidi="ar-SA"/>
        </w:rPr>
        <w:t>是</w:t>
      </w:r>
      <w:r>
        <w:rPr>
          <w:rStyle w:val="6"/>
          <w:rFonts w:ascii="仿宋_GB2312" w:hAnsi="宋体" w:eastAsia="仿宋_GB2312"/>
          <w:kern w:val="2"/>
          <w:sz w:val="32"/>
          <w:szCs w:val="32"/>
          <w:lang w:val="en-US" w:eastAsia="zh-CN" w:bidi="ar-SA"/>
        </w:rPr>
        <w:t>压缩开支公务用车维护费减少。</w:t>
      </w:r>
    </w:p>
    <w:p w14:paraId="5635E079">
      <w:pPr>
        <w:spacing w:line="540" w:lineRule="exact"/>
        <w:ind w:firstLine="645"/>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其中：因公出国（境）费2.37万元，公务接待费0.71万元，公务用车购置及运行维护费53.69万元。</w:t>
      </w:r>
    </w:p>
    <w:p w14:paraId="34A0F60B">
      <w:pPr>
        <w:spacing w:line="540" w:lineRule="exact"/>
        <w:ind w:firstLine="645"/>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1.因公出国（境）费2.37万元，主要用于职工因公出国等，2019年参加出国（境）团组0个，累计1人次。2019年因公出国（境）费比上年增加2.37万元，增长100%，主要是2019年有人员因公出国等原因。</w:t>
      </w:r>
    </w:p>
    <w:p w14:paraId="0DED33D1">
      <w:pPr>
        <w:spacing w:line="540" w:lineRule="exact"/>
        <w:ind w:firstLine="645"/>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公务接待费0.71万元，主要用于兴隆台区下属事业单位职工来辽东湾开会、培训等发生的食堂餐费，2019年国内公务接待累计30批次，185人，0.71万元。2019年公务接待费比上年增加0.5万元，增长238.1%，主要是接待批次及人数增加等原因。</w:t>
      </w:r>
    </w:p>
    <w:p w14:paraId="74E93D5A">
      <w:pPr>
        <w:spacing w:line="540" w:lineRule="exact"/>
        <w:ind w:firstLine="645"/>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3.</w:t>
      </w:r>
      <w:r>
        <w:rPr>
          <w:rStyle w:val="6"/>
          <w:kern w:val="2"/>
          <w:sz w:val="21"/>
          <w:szCs w:val="24"/>
          <w:lang w:val="en-US" w:eastAsia="zh-CN" w:bidi="ar-SA"/>
        </w:rPr>
        <w:t xml:space="preserve"> </w:t>
      </w:r>
      <w:r>
        <w:rPr>
          <w:rStyle w:val="6"/>
          <w:rFonts w:ascii="仿宋_GB2312" w:hAnsi="宋体" w:eastAsia="仿宋_GB2312"/>
          <w:kern w:val="2"/>
          <w:sz w:val="32"/>
          <w:szCs w:val="32"/>
          <w:lang w:val="en-US" w:eastAsia="zh-CN" w:bidi="ar-SA"/>
        </w:rPr>
        <w:t>公务用车购置及运行费53.69万元，比上年减少18.62万元，下降25.75%，主要是压缩经费开支等原因。</w:t>
      </w:r>
    </w:p>
    <w:p w14:paraId="421A1A59">
      <w:pPr>
        <w:spacing w:line="540" w:lineRule="exact"/>
        <w:ind w:firstLine="645"/>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公务用车购置费0万元。本年无公务用车采购,当年购置公务用车0辆。</w:t>
      </w:r>
    </w:p>
    <w:p w14:paraId="7173D3FB">
      <w:pPr>
        <w:spacing w:line="540" w:lineRule="exact"/>
        <w:ind w:firstLine="645"/>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公务用车运行维护费53.69万元，主要用于机关事业单位机要通讯用车、应急保障用车及其他用车等。截至年末使用一般公共预算财政拨款开支的公务用车保有量16辆。</w:t>
      </w:r>
    </w:p>
    <w:p w14:paraId="23A5377B">
      <w:pPr>
        <w:spacing w:line="540" w:lineRule="exact"/>
        <w:ind w:firstLine="645"/>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四、一般公共预算财政拨款基本支出决算情况说明</w:t>
      </w:r>
    </w:p>
    <w:p w14:paraId="537475B2">
      <w:pPr>
        <w:spacing w:line="540" w:lineRule="exact"/>
        <w:ind w:firstLine="645"/>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2019年度一般公共预算财政拨款基本支出3496.06万元，其中：人员经费3106.66万元，主要包括基本工资、津贴补贴、奖金、其他社会保障缴费、机关事业单位基本养老保险缴费、其他工资福利支出、离休费、退休费、抚恤金、生活补助、奖励金、住房公积金、采暖补贴、其他对个人和家庭补助的支出；日常公用经费389.4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0A240EAA">
      <w:pPr>
        <w:spacing w:line="540" w:lineRule="exact"/>
        <w:ind w:firstLine="640" w:firstLineChars="200"/>
        <w:jc w:val="both"/>
        <w:textAlignment w:val="baseline"/>
        <w:rPr>
          <w:rStyle w:val="6"/>
          <w:rFonts w:ascii="黑体" w:hAnsi="黑体" w:eastAsia="黑体"/>
          <w:kern w:val="2"/>
          <w:sz w:val="32"/>
          <w:szCs w:val="32"/>
          <w:lang w:val="en-US" w:eastAsia="zh-CN" w:bidi="ar-SA"/>
        </w:rPr>
      </w:pPr>
      <w:r>
        <w:rPr>
          <w:rStyle w:val="6"/>
          <w:rFonts w:ascii="黑体" w:hAnsi="黑体" w:eastAsia="黑体"/>
          <w:kern w:val="2"/>
          <w:sz w:val="32"/>
          <w:szCs w:val="32"/>
          <w:lang w:val="en-US" w:eastAsia="zh-CN" w:bidi="ar-SA"/>
        </w:rPr>
        <w:t>五、其他重要事项的情况说明</w:t>
      </w:r>
    </w:p>
    <w:p w14:paraId="6769C96A">
      <w:pPr>
        <w:spacing w:line="540" w:lineRule="exact"/>
        <w:ind w:firstLine="643" w:firstLineChars="200"/>
        <w:jc w:val="both"/>
        <w:textAlignment w:val="baseline"/>
        <w:rPr>
          <w:rStyle w:val="6"/>
          <w:rFonts w:ascii="楷体_GB2312" w:hAnsi="黑体" w:eastAsia="楷体_GB2312"/>
          <w:b/>
          <w:kern w:val="2"/>
          <w:sz w:val="32"/>
          <w:szCs w:val="32"/>
          <w:lang w:val="en-US" w:eastAsia="zh-CN" w:bidi="ar-SA"/>
        </w:rPr>
      </w:pPr>
      <w:r>
        <w:rPr>
          <w:rStyle w:val="6"/>
          <w:rFonts w:ascii="楷体_GB2312" w:hAnsi="黑体" w:eastAsia="楷体_GB2312"/>
          <w:b/>
          <w:kern w:val="2"/>
          <w:sz w:val="32"/>
          <w:szCs w:val="32"/>
          <w:lang w:val="en-US" w:eastAsia="zh-CN" w:bidi="ar-SA"/>
        </w:rPr>
        <w:t>（一）机关运行经费支出情况。</w:t>
      </w:r>
    </w:p>
    <w:p w14:paraId="0E22475E">
      <w:pPr>
        <w:spacing w:line="540" w:lineRule="exact"/>
        <w:ind w:firstLine="640" w:firstLineChars="20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2019年度盘锦市生态环境局机关运行经费支出151.49万元，比上年增加21.75万元，增长16.76%，主要原因是机关增加转隶人员15人。具体支出明细如下：办公费20.16万元；印刷费0.21万元；手续费0.19万元；邮电费2.17万元；取暖费13.74；差旅费13.84万元；租赁费0.18万元；维修（护）费0.66万元；公务接待费0.36万元；工会经费10.77万元；福利费0.84万元；公务用车运行维护费9.28万元；其他交通费63.08万元；其他商品和服务支出16.01万元。</w:t>
      </w:r>
    </w:p>
    <w:p w14:paraId="16469BF1">
      <w:pPr>
        <w:spacing w:line="540" w:lineRule="exact"/>
        <w:ind w:firstLine="643" w:firstLineChars="200"/>
        <w:jc w:val="both"/>
        <w:textAlignment w:val="baseline"/>
        <w:rPr>
          <w:rStyle w:val="6"/>
          <w:rFonts w:ascii="楷体_GB2312" w:hAnsi="黑体" w:eastAsia="楷体_GB2312"/>
          <w:b/>
          <w:kern w:val="2"/>
          <w:sz w:val="32"/>
          <w:szCs w:val="32"/>
          <w:lang w:val="en-US" w:eastAsia="zh-CN" w:bidi="ar-SA"/>
        </w:rPr>
      </w:pPr>
      <w:r>
        <w:rPr>
          <w:rStyle w:val="6"/>
          <w:rFonts w:ascii="楷体_GB2312" w:hAnsi="黑体" w:eastAsia="楷体_GB2312"/>
          <w:b/>
          <w:kern w:val="2"/>
          <w:sz w:val="32"/>
          <w:szCs w:val="32"/>
          <w:lang w:val="en-US" w:eastAsia="zh-CN" w:bidi="ar-SA"/>
        </w:rPr>
        <w:t>（二）政府采购支出情况。</w:t>
      </w:r>
    </w:p>
    <w:p w14:paraId="6348BCF8">
      <w:pPr>
        <w:spacing w:line="540" w:lineRule="exact"/>
        <w:ind w:firstLine="640" w:firstLineChars="200"/>
        <w:jc w:val="both"/>
        <w:textAlignment w:val="baseline"/>
        <w:rPr>
          <w:rStyle w:val="6"/>
          <w:rFonts w:ascii="仿宋_GB2312" w:hAnsi="黑体" w:eastAsia="仿宋_GB2312"/>
          <w:color w:val="C00000"/>
          <w:kern w:val="2"/>
          <w:sz w:val="32"/>
          <w:szCs w:val="32"/>
          <w:lang w:val="en-US" w:eastAsia="zh-CN" w:bidi="ar-SA"/>
        </w:rPr>
      </w:pPr>
      <w:r>
        <w:rPr>
          <w:rStyle w:val="6"/>
          <w:rFonts w:ascii="仿宋_GB2312" w:hAnsi="黑体" w:eastAsia="仿宋_GB2312"/>
          <w:kern w:val="2"/>
          <w:sz w:val="32"/>
          <w:szCs w:val="32"/>
          <w:lang w:val="en-US" w:eastAsia="zh-CN" w:bidi="ar-SA"/>
        </w:rPr>
        <w:t>2019年度盘级市生态环境局政府采购支出总额452万元，其中：政府采购货物支出0万元，政府采购工程支出0万元，政府采购服务支出452万元。</w:t>
      </w:r>
      <w:r>
        <w:rPr>
          <w:rStyle w:val="6"/>
          <w:rFonts w:ascii="仿宋_GB2312" w:eastAsia="仿宋_GB2312"/>
          <w:kern w:val="2"/>
          <w:sz w:val="32"/>
          <w:szCs w:val="32"/>
          <w:lang w:val="en-US" w:eastAsia="zh-CN" w:bidi="ar-SA"/>
        </w:rPr>
        <w:t>授予中小企业合同金额452万元，占政府采购支出总额的100%，其中：授予小微企业合同金额452万元，占政府采购支出总额的100%。</w:t>
      </w:r>
    </w:p>
    <w:p w14:paraId="4640E472">
      <w:pPr>
        <w:spacing w:line="540" w:lineRule="exact"/>
        <w:ind w:firstLine="643" w:firstLineChars="200"/>
        <w:jc w:val="both"/>
        <w:textAlignment w:val="baseline"/>
        <w:rPr>
          <w:rStyle w:val="6"/>
          <w:rFonts w:ascii="楷体_GB2312" w:hAnsi="黑体" w:eastAsia="楷体_GB2312"/>
          <w:b/>
          <w:kern w:val="2"/>
          <w:sz w:val="32"/>
          <w:szCs w:val="32"/>
          <w:lang w:val="en-US" w:eastAsia="zh-CN" w:bidi="ar-SA"/>
        </w:rPr>
      </w:pPr>
      <w:r>
        <w:rPr>
          <w:rStyle w:val="6"/>
          <w:rFonts w:ascii="楷体_GB2312" w:hAnsi="黑体" w:eastAsia="楷体_GB2312"/>
          <w:b/>
          <w:kern w:val="2"/>
          <w:sz w:val="32"/>
          <w:szCs w:val="32"/>
          <w:lang w:val="en-US" w:eastAsia="zh-CN" w:bidi="ar-SA"/>
        </w:rPr>
        <w:t>（三）国有资产占用情况。</w:t>
      </w:r>
    </w:p>
    <w:p w14:paraId="2A94D11C">
      <w:pPr>
        <w:spacing w:line="540" w:lineRule="exact"/>
        <w:ind w:firstLine="640" w:firstLineChars="20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截至2019年12月31日，盘锦市生态环境局资产总额5434.24万元，其中：</w:t>
      </w:r>
    </w:p>
    <w:p w14:paraId="128EB7B3">
      <w:pPr>
        <w:spacing w:line="540" w:lineRule="exact"/>
        <w:ind w:firstLine="640" w:firstLineChars="20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1.土地、房屋及构筑物。面积12358.57平方米，价值19023985.31元；</w:t>
      </w:r>
    </w:p>
    <w:p w14:paraId="247FDA84">
      <w:pPr>
        <w:spacing w:line="540" w:lineRule="exact"/>
        <w:ind w:firstLine="640" w:firstLineChars="20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2.车辆。共有16辆，其中：副省级以上领导干部用车0辆，主要领导干部用车0辆，机要通讯用车2辆，应急保障用车2辆，执法执勤用车0辆，特种专业技术用车1辆，离退休干部用车0辆，其他用车11辆，其他用车主要是一般公务用车；</w:t>
      </w:r>
    </w:p>
    <w:p w14:paraId="627ABA5E">
      <w:pPr>
        <w:spacing w:line="540" w:lineRule="exact"/>
        <w:ind w:firstLine="640" w:firstLineChars="20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3.通用设备。单位价值50万元以上通用设备4台（套）</w:t>
      </w:r>
    </w:p>
    <w:p w14:paraId="3270ABAC">
      <w:pPr>
        <w:spacing w:line="540" w:lineRule="exact"/>
        <w:ind w:firstLine="640" w:firstLineChars="200"/>
        <w:jc w:val="both"/>
        <w:textAlignment w:val="baseline"/>
        <w:rPr>
          <w:rStyle w:val="6"/>
          <w:rFonts w:ascii="仿宋_GB2312" w:hAnsi="黑体" w:eastAsia="仿宋_GB2312"/>
          <w:kern w:val="2"/>
          <w:sz w:val="32"/>
          <w:szCs w:val="32"/>
          <w:lang w:val="en-US" w:eastAsia="zh-CN" w:bidi="ar-SA"/>
        </w:rPr>
      </w:pPr>
      <w:r>
        <w:rPr>
          <w:rStyle w:val="6"/>
          <w:rFonts w:ascii="仿宋_GB2312" w:hAnsi="黑体" w:eastAsia="仿宋_GB2312"/>
          <w:kern w:val="2"/>
          <w:sz w:val="32"/>
          <w:szCs w:val="32"/>
          <w:lang w:val="en-US" w:eastAsia="zh-CN" w:bidi="ar-SA"/>
        </w:rPr>
        <w:t>4.专用设备。单价100万元以上专用设备7台（套）。</w:t>
      </w:r>
    </w:p>
    <w:p w14:paraId="080F2190">
      <w:pPr>
        <w:spacing w:line="540" w:lineRule="exact"/>
        <w:ind w:firstLine="643" w:firstLineChars="200"/>
        <w:jc w:val="both"/>
        <w:textAlignment w:val="baseline"/>
        <w:rPr>
          <w:rStyle w:val="6"/>
          <w:rFonts w:ascii="楷体_GB2312" w:hAnsi="宋体" w:eastAsia="楷体_GB2312"/>
          <w:b/>
          <w:kern w:val="2"/>
          <w:sz w:val="32"/>
          <w:szCs w:val="32"/>
          <w:lang w:val="en-US" w:eastAsia="zh-CN" w:bidi="ar-SA"/>
        </w:rPr>
      </w:pPr>
      <w:r>
        <w:rPr>
          <w:rStyle w:val="6"/>
          <w:rFonts w:ascii="楷体_GB2312" w:hAnsi="宋体" w:eastAsia="楷体_GB2312"/>
          <w:b/>
          <w:kern w:val="2"/>
          <w:sz w:val="32"/>
          <w:szCs w:val="32"/>
          <w:lang w:val="en-US" w:eastAsia="zh-CN" w:bidi="ar-SA"/>
        </w:rPr>
        <w:t>（四）预算绩效管理工作开展情况。</w:t>
      </w:r>
    </w:p>
    <w:p w14:paraId="787ECFCB">
      <w:pPr>
        <w:spacing w:line="540" w:lineRule="exact"/>
        <w:ind w:firstLine="640" w:firstLineChars="200"/>
        <w:jc w:val="both"/>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根据财政预算管理要求，盘锦市生态环境局组织对2019年度预算项目支出全面开展绩效自评，共涉及预算支出项目6个，涉及资金69万元，自评覆盖率（开展绩效自评的项目数/年初批复绩效目标的项目数）达到116.67%。</w:t>
      </w:r>
      <w:r>
        <w:rPr>
          <w:rStyle w:val="6"/>
          <w:rFonts w:ascii="仿宋_GB2312" w:hAnsi="宋体" w:eastAsia="仿宋_GB2312"/>
          <w:color w:val="FFFFFF"/>
          <w:kern w:val="2"/>
          <w:sz w:val="32"/>
          <w:szCs w:val="32"/>
          <w:lang w:val="en-US" w:eastAsia="zh-CN" w:bidi="ar-SA"/>
        </w:rPr>
        <w:t>。</w:t>
      </w:r>
    </w:p>
    <w:p w14:paraId="1ABF3CD0">
      <w:pPr>
        <w:spacing w:line="480" w:lineRule="auto"/>
        <w:ind w:firstLine="630"/>
        <w:jc w:val="left"/>
        <w:textAlignment w:val="baseline"/>
        <w:rPr>
          <w:rStyle w:val="6"/>
          <w:rFonts w:ascii="仿宋_GB2312" w:hAnsi="宋体" w:eastAsia="仿宋_GB2312"/>
          <w:kern w:val="2"/>
          <w:sz w:val="32"/>
          <w:szCs w:val="32"/>
          <w:lang w:val="en-US" w:eastAsia="zh-CN" w:bidi="ar-SA"/>
        </w:rPr>
      </w:pPr>
      <w:r>
        <w:rPr>
          <w:rStyle w:val="6"/>
          <w:rFonts w:ascii="仿宋_GB2312" w:hAnsi="宋体" w:eastAsia="仿宋_GB2312"/>
          <w:kern w:val="2"/>
          <w:sz w:val="32"/>
          <w:szCs w:val="32"/>
          <w:lang w:val="en-US" w:eastAsia="zh-CN" w:bidi="ar-SA"/>
        </w:rPr>
        <w:t>通过绩效自评发现预算项目管理主要存在以下问题</w:t>
      </w:r>
      <w:r>
        <w:rPr>
          <w:rStyle w:val="6"/>
          <w:rFonts w:ascii="仿宋" w:hAnsi="仿宋" w:eastAsia="仿宋"/>
          <w:kern w:val="2"/>
          <w:sz w:val="32"/>
          <w:szCs w:val="32"/>
          <w:lang w:val="en-US" w:eastAsia="zh-CN" w:bidi="ar-SA"/>
        </w:rPr>
        <w:t>：一</w:t>
      </w:r>
      <w:r>
        <w:rPr>
          <w:rStyle w:val="6"/>
          <w:rFonts w:ascii="仿宋_GB2312" w:hAnsi="宋体" w:eastAsia="仿宋_GB2312"/>
          <w:kern w:val="2"/>
          <w:sz w:val="32"/>
          <w:szCs w:val="32"/>
          <w:lang w:val="en-US" w:eastAsia="zh-CN" w:bidi="ar-SA"/>
        </w:rPr>
        <w:t>是预算项目支出绩效管理工作的理念还需要理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和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14:paraId="4098492F">
      <w:pPr>
        <w:spacing w:line="480" w:lineRule="auto"/>
        <w:ind w:firstLine="630"/>
        <w:jc w:val="left"/>
        <w:textAlignment w:val="baseline"/>
        <w:rPr>
          <w:rStyle w:val="6"/>
          <w:rFonts w:ascii="宋体" w:hAnsi="宋体"/>
          <w:b/>
          <w:kern w:val="2"/>
          <w:sz w:val="36"/>
          <w:szCs w:val="36"/>
          <w:lang w:val="en-US" w:eastAsia="zh-CN" w:bidi="ar-SA"/>
        </w:rPr>
      </w:pPr>
      <w:r>
        <w:rPr>
          <w:rStyle w:val="6"/>
          <w:rFonts w:ascii="宋体" w:hAnsi="宋体"/>
          <w:b/>
          <w:kern w:val="2"/>
          <w:sz w:val="36"/>
          <w:szCs w:val="36"/>
          <w:lang w:val="en-US" w:eastAsia="zh-CN" w:bidi="ar-SA"/>
        </w:rPr>
        <w:t>第四部分 名词解释</w:t>
      </w:r>
    </w:p>
    <w:p w14:paraId="0DEB6294">
      <w:pPr>
        <w:spacing w:line="540" w:lineRule="exact"/>
        <w:jc w:val="center"/>
        <w:textAlignment w:val="baseline"/>
        <w:rPr>
          <w:rStyle w:val="6"/>
          <w:rFonts w:ascii="宋体" w:hAnsi="宋体"/>
          <w:b/>
          <w:kern w:val="2"/>
          <w:sz w:val="36"/>
          <w:szCs w:val="36"/>
          <w:lang w:val="en-US" w:eastAsia="zh-CN" w:bidi="ar-SA"/>
        </w:rPr>
      </w:pPr>
    </w:p>
    <w:p w14:paraId="4D091DC6">
      <w:pPr>
        <w:spacing w:line="540" w:lineRule="exact"/>
        <w:ind w:firstLine="482" w:firstLineChars="15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1.财政拨款收入：</w:t>
      </w:r>
      <w:r>
        <w:rPr>
          <w:rStyle w:val="6"/>
          <w:rFonts w:ascii="仿宋" w:hAnsi="仿宋" w:eastAsia="仿宋"/>
          <w:kern w:val="2"/>
          <w:sz w:val="32"/>
          <w:szCs w:val="32"/>
          <w:lang w:val="en-US" w:eastAsia="zh-CN" w:bidi="ar-SA"/>
        </w:rPr>
        <w:t>指单位从同级财政部门取得的财政预算资金。</w:t>
      </w:r>
    </w:p>
    <w:p w14:paraId="414C1618">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2.上级补助收入：</w:t>
      </w:r>
      <w:r>
        <w:rPr>
          <w:rStyle w:val="6"/>
          <w:rFonts w:ascii="仿宋" w:hAnsi="仿宋" w:eastAsia="仿宋"/>
          <w:kern w:val="2"/>
          <w:sz w:val="32"/>
          <w:szCs w:val="32"/>
          <w:lang w:val="en-US" w:eastAsia="zh-CN" w:bidi="ar-SA"/>
        </w:rPr>
        <w:t>指单位从主管部门和上级单位取得的非财政性补助收入。</w:t>
      </w:r>
    </w:p>
    <w:p w14:paraId="79D0B77A">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3.事业收入：</w:t>
      </w:r>
      <w:r>
        <w:rPr>
          <w:rStyle w:val="6"/>
          <w:rFonts w:ascii="仿宋" w:hAnsi="仿宋" w:eastAsia="仿宋"/>
          <w:kern w:val="2"/>
          <w:sz w:val="32"/>
          <w:szCs w:val="32"/>
          <w:lang w:val="en-US" w:eastAsia="zh-CN" w:bidi="ar-SA"/>
        </w:rPr>
        <w:t>指事业单位开展专业业务活动及辅助活动所取得的收入。</w:t>
      </w:r>
    </w:p>
    <w:p w14:paraId="15535A04">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4.经营收入：</w:t>
      </w:r>
      <w:r>
        <w:rPr>
          <w:rStyle w:val="6"/>
          <w:rFonts w:ascii="仿宋" w:hAnsi="仿宋" w:eastAsia="仿宋"/>
          <w:kern w:val="2"/>
          <w:sz w:val="32"/>
          <w:szCs w:val="32"/>
          <w:lang w:val="en-US" w:eastAsia="zh-CN" w:bidi="ar-SA"/>
        </w:rPr>
        <w:t>指事业单位在专业业务活动及辅助活动之外开展非独立核算经营活动取得的收入。</w:t>
      </w:r>
    </w:p>
    <w:p w14:paraId="0E9D945F">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5.附属单位上缴收入：</w:t>
      </w:r>
      <w:r>
        <w:rPr>
          <w:rStyle w:val="6"/>
          <w:rFonts w:ascii="仿宋" w:hAnsi="仿宋" w:eastAsia="仿宋"/>
          <w:kern w:val="2"/>
          <w:sz w:val="32"/>
          <w:szCs w:val="32"/>
          <w:lang w:val="en-US" w:eastAsia="zh-CN" w:bidi="ar-SA"/>
        </w:rPr>
        <w:t>指单位附属的独立核算单位按照规定上缴的收入。</w:t>
      </w:r>
    </w:p>
    <w:p w14:paraId="557CEC22">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6.其他收入：</w:t>
      </w:r>
      <w:r>
        <w:rPr>
          <w:rStyle w:val="6"/>
          <w:rFonts w:ascii="仿宋" w:hAnsi="仿宋" w:eastAsia="仿宋"/>
          <w:kern w:val="2"/>
          <w:sz w:val="32"/>
          <w:szCs w:val="32"/>
          <w:lang w:val="en-US" w:eastAsia="zh-CN" w:bidi="ar-SA"/>
        </w:rPr>
        <w:t>指除上述“财政拨款收入”、</w:t>
      </w:r>
      <w:r>
        <w:rPr>
          <w:rStyle w:val="6"/>
          <w:rFonts w:ascii="仿宋" w:hAnsi="仿宋" w:eastAsia="仿宋"/>
          <w:b/>
          <w:kern w:val="2"/>
          <w:sz w:val="32"/>
          <w:szCs w:val="32"/>
          <w:lang w:val="en-US" w:eastAsia="zh-CN" w:bidi="ar-SA"/>
        </w:rPr>
        <w:t xml:space="preserve"> </w:t>
      </w:r>
      <w:r>
        <w:rPr>
          <w:rStyle w:val="6"/>
          <w:rFonts w:ascii="仿宋" w:hAnsi="仿宋" w:eastAsia="仿宋"/>
          <w:kern w:val="2"/>
          <w:sz w:val="32"/>
          <w:szCs w:val="32"/>
          <w:lang w:val="en-US" w:eastAsia="zh-CN" w:bidi="ar-SA"/>
        </w:rPr>
        <w:t>“上级补助收入”、“事业收入”、“经营收入”、“附属单位上缴收入”等以外的收入。</w:t>
      </w:r>
    </w:p>
    <w:p w14:paraId="3753A180">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7.用事业基金弥补收支差额：</w:t>
      </w:r>
      <w:r>
        <w:rPr>
          <w:rStyle w:val="6"/>
          <w:rFonts w:ascii="仿宋" w:hAnsi="仿宋" w:eastAsia="仿宋"/>
          <w:kern w:val="2"/>
          <w:sz w:val="32"/>
          <w:szCs w:val="32"/>
          <w:lang w:val="en-US" w:eastAsia="zh-CN" w:bidi="ar-SA"/>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20637ABA">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8.上年结转和结余：</w:t>
      </w:r>
      <w:r>
        <w:rPr>
          <w:rStyle w:val="6"/>
          <w:rFonts w:ascii="仿宋" w:hAnsi="仿宋" w:eastAsia="仿宋"/>
          <w:kern w:val="2"/>
          <w:sz w:val="32"/>
          <w:szCs w:val="32"/>
          <w:lang w:val="en-US" w:eastAsia="zh-CN" w:bidi="ar-SA"/>
        </w:rPr>
        <w:t>指以前年度尚未完成、结转到本年按有关规定继续使用的资金。</w:t>
      </w:r>
    </w:p>
    <w:p w14:paraId="12888D9D">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9.基本支出：</w:t>
      </w:r>
      <w:r>
        <w:rPr>
          <w:rStyle w:val="6"/>
          <w:rFonts w:ascii="仿宋" w:hAnsi="仿宋" w:eastAsia="仿宋"/>
          <w:kern w:val="2"/>
          <w:sz w:val="32"/>
          <w:szCs w:val="32"/>
          <w:lang w:val="en-US" w:eastAsia="zh-CN" w:bidi="ar-SA"/>
        </w:rPr>
        <w:t>指保障机构正常运转、完成日常工作任务而发生的人员支出和公用支出。</w:t>
      </w:r>
    </w:p>
    <w:p w14:paraId="2136A687">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10.项目支出：</w:t>
      </w:r>
      <w:r>
        <w:rPr>
          <w:rStyle w:val="6"/>
          <w:rFonts w:ascii="仿宋" w:hAnsi="仿宋" w:eastAsia="仿宋"/>
          <w:kern w:val="2"/>
          <w:sz w:val="32"/>
          <w:szCs w:val="32"/>
          <w:lang w:val="en-US" w:eastAsia="zh-CN" w:bidi="ar-SA"/>
        </w:rPr>
        <w:t>指在基本支出之外为完成特定行政任务和事业发展目标所发生的支出。</w:t>
      </w:r>
    </w:p>
    <w:p w14:paraId="1CBCC48C">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11.上缴上级支出：</w:t>
      </w:r>
      <w:r>
        <w:rPr>
          <w:rStyle w:val="6"/>
          <w:rFonts w:ascii="仿宋" w:hAnsi="仿宋" w:eastAsia="仿宋"/>
          <w:kern w:val="2"/>
          <w:sz w:val="32"/>
          <w:szCs w:val="32"/>
          <w:lang w:val="en-US" w:eastAsia="zh-CN" w:bidi="ar-SA"/>
        </w:rPr>
        <w:t>指事业单位按照财政部门和主管部门的规定上缴上级单位的支出。</w:t>
      </w:r>
    </w:p>
    <w:p w14:paraId="1D29AE47">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12.经营支出：</w:t>
      </w:r>
      <w:r>
        <w:rPr>
          <w:rStyle w:val="6"/>
          <w:rFonts w:ascii="仿宋" w:hAnsi="仿宋" w:eastAsia="仿宋"/>
          <w:kern w:val="2"/>
          <w:sz w:val="32"/>
          <w:szCs w:val="32"/>
          <w:lang w:val="en-US" w:eastAsia="zh-CN" w:bidi="ar-SA"/>
        </w:rPr>
        <w:t>指事业单位在专业活动及辅助活动之外开展非独立核算经营活动发生的支出。</w:t>
      </w:r>
    </w:p>
    <w:p w14:paraId="4F474456">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13.对附属单位补助支出：</w:t>
      </w:r>
      <w:r>
        <w:rPr>
          <w:rStyle w:val="6"/>
          <w:rFonts w:ascii="仿宋" w:hAnsi="仿宋" w:eastAsia="仿宋"/>
          <w:kern w:val="2"/>
          <w:sz w:val="32"/>
          <w:szCs w:val="32"/>
          <w:lang w:val="en-US" w:eastAsia="zh-CN" w:bidi="ar-SA"/>
        </w:rPr>
        <w:t>指事业单位用财政补助收入之外的收入对附属单位补助发生的支出。</w:t>
      </w:r>
    </w:p>
    <w:p w14:paraId="206808F2">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14.“三公”经费：</w:t>
      </w:r>
      <w:r>
        <w:rPr>
          <w:rStyle w:val="6"/>
          <w:rFonts w:ascii="仿宋" w:hAnsi="仿宋" w:eastAsia="仿宋"/>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0730D91">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15.一般公共服务（类）财政事务（款）行政运行（项）：</w:t>
      </w:r>
      <w:r>
        <w:rPr>
          <w:rStyle w:val="6"/>
          <w:rFonts w:ascii="仿宋" w:hAnsi="仿宋" w:eastAsia="仿宋"/>
          <w:kern w:val="2"/>
          <w:sz w:val="32"/>
          <w:szCs w:val="32"/>
          <w:lang w:val="en-US" w:eastAsia="zh-CN" w:bidi="ar-SA"/>
        </w:rPr>
        <w:t>反映行政单位（包括实行公务员管理的事业单位）的基本支出。</w:t>
      </w:r>
    </w:p>
    <w:p w14:paraId="0E0ED89C">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16.一般公共服务（类）财政事务（款）一般行政管理事务（项）：</w:t>
      </w:r>
      <w:r>
        <w:rPr>
          <w:rStyle w:val="6"/>
          <w:rFonts w:ascii="仿宋" w:hAnsi="仿宋" w:eastAsia="仿宋"/>
          <w:kern w:val="2"/>
          <w:sz w:val="32"/>
          <w:szCs w:val="32"/>
          <w:lang w:val="en-US" w:eastAsia="zh-CN" w:bidi="ar-SA"/>
        </w:rPr>
        <w:t>反映行政单位（包括实行公务员管理的事业单位）未单独设置项级科目的其他项目支出。</w:t>
      </w:r>
    </w:p>
    <w:p w14:paraId="5BFE78A5">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17.一般公共服务（类）财政事务（款）预算改革业务（项）：</w:t>
      </w:r>
      <w:r>
        <w:rPr>
          <w:rStyle w:val="6"/>
          <w:rFonts w:ascii="仿宋" w:hAnsi="仿宋" w:eastAsia="仿宋"/>
          <w:kern w:val="2"/>
          <w:sz w:val="32"/>
          <w:szCs w:val="32"/>
          <w:lang w:val="en-US" w:eastAsia="zh-CN" w:bidi="ar-SA"/>
        </w:rPr>
        <w:t>反映财政部门用于预算改革方面的支出。</w:t>
      </w:r>
    </w:p>
    <w:p w14:paraId="313B4608">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18.一般公共服务（类）财政事务（款）财政国库业务（项）：</w:t>
      </w:r>
      <w:r>
        <w:rPr>
          <w:rStyle w:val="6"/>
          <w:rFonts w:ascii="仿宋" w:hAnsi="仿宋" w:eastAsia="仿宋"/>
          <w:kern w:val="2"/>
          <w:sz w:val="32"/>
          <w:szCs w:val="32"/>
          <w:lang w:val="en-US" w:eastAsia="zh-CN" w:bidi="ar-SA"/>
        </w:rPr>
        <w:t>反映财政部门用于财政国库集中收付业务方面的支出。</w:t>
      </w:r>
    </w:p>
    <w:p w14:paraId="47629FCD">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19.一般公共服务（类）财政事务（款）信息化建设支出（项）：</w:t>
      </w:r>
      <w:r>
        <w:rPr>
          <w:rStyle w:val="6"/>
          <w:rFonts w:ascii="仿宋" w:hAnsi="仿宋" w:eastAsia="仿宋"/>
          <w:kern w:val="2"/>
          <w:sz w:val="32"/>
          <w:szCs w:val="32"/>
          <w:lang w:val="en-US" w:eastAsia="zh-CN" w:bidi="ar-SA"/>
        </w:rPr>
        <w:t>反映财政部门用于“金财工程”等信息化建设方面的支出。</w:t>
      </w:r>
    </w:p>
    <w:p w14:paraId="10D97214">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20.一般公共服务（类）财政事务（款）事业运行（项）：</w:t>
      </w:r>
      <w:r>
        <w:rPr>
          <w:rStyle w:val="6"/>
          <w:rFonts w:ascii="仿宋" w:hAnsi="仿宋" w:eastAsia="仿宋"/>
          <w:kern w:val="2"/>
          <w:sz w:val="32"/>
          <w:szCs w:val="32"/>
          <w:lang w:val="en-US" w:eastAsia="zh-CN" w:bidi="ar-SA"/>
        </w:rPr>
        <w:t>反映事业单位的基本支出，不包括行政单位（包括实行公务员管理的事业单位）后勤服务中心、医务室等附属事业单位。</w:t>
      </w:r>
    </w:p>
    <w:p w14:paraId="0A143290">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21.一般公共服务（类）财政事务（款）其他财政事务支出（项）：</w:t>
      </w:r>
      <w:r>
        <w:rPr>
          <w:rStyle w:val="6"/>
          <w:rFonts w:ascii="仿宋" w:hAnsi="仿宋" w:eastAsia="仿宋"/>
          <w:kern w:val="2"/>
          <w:sz w:val="32"/>
          <w:szCs w:val="32"/>
          <w:lang w:val="en-US" w:eastAsia="zh-CN" w:bidi="ar-SA"/>
        </w:rPr>
        <w:t>反映除上述项目以外其他财政事务方面的支出。</w:t>
      </w:r>
    </w:p>
    <w:p w14:paraId="22BAE995">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22.社会保障和就业（类）行政事业单位离退休（款）归口管理的行政单位离退休（项）：</w:t>
      </w:r>
      <w:r>
        <w:rPr>
          <w:rStyle w:val="6"/>
          <w:rFonts w:ascii="仿宋" w:hAnsi="仿宋" w:eastAsia="仿宋"/>
          <w:kern w:val="2"/>
          <w:sz w:val="32"/>
          <w:szCs w:val="32"/>
          <w:lang w:val="en-US" w:eastAsia="zh-CN" w:bidi="ar-SA"/>
        </w:rPr>
        <w:t>反映实行归口管理的行政单位（包括实行公务员管理的事业单位）开支的离退休经费。</w:t>
      </w:r>
    </w:p>
    <w:p w14:paraId="41239C8D">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23.社会保障和就业（类）行政事业单位离退休（款）事业单位离退休（项）：</w:t>
      </w:r>
      <w:r>
        <w:rPr>
          <w:rStyle w:val="6"/>
          <w:rFonts w:ascii="仿宋" w:hAnsi="仿宋" w:eastAsia="仿宋"/>
          <w:kern w:val="2"/>
          <w:sz w:val="32"/>
          <w:szCs w:val="32"/>
          <w:lang w:val="en-US" w:eastAsia="zh-CN" w:bidi="ar-SA"/>
        </w:rPr>
        <w:t>反映实行归口管理的事业单位开支的离退休经费。</w:t>
      </w:r>
    </w:p>
    <w:p w14:paraId="3313C942">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24.社会保障和就业（类）抚恤（款）死亡抚恤（项）：</w:t>
      </w:r>
      <w:r>
        <w:rPr>
          <w:rStyle w:val="6"/>
          <w:rFonts w:ascii="仿宋" w:hAnsi="仿宋" w:eastAsia="仿宋"/>
          <w:kern w:val="2"/>
          <w:sz w:val="32"/>
          <w:szCs w:val="32"/>
          <w:lang w:val="en-US" w:eastAsia="zh-CN" w:bidi="ar-SA"/>
        </w:rPr>
        <w:t>反映按规定用于烈士和牺牲、病故人员家属的一次性和定期抚恤金以及丧葬补助费。</w:t>
      </w:r>
    </w:p>
    <w:p w14:paraId="342D3652">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25.社会保障和就业（类）抚恤（款）伤残抚恤（项）：</w:t>
      </w:r>
      <w:r>
        <w:rPr>
          <w:rStyle w:val="6"/>
          <w:rFonts w:ascii="仿宋" w:hAnsi="仿宋" w:eastAsia="仿宋"/>
          <w:kern w:val="2"/>
          <w:sz w:val="32"/>
          <w:szCs w:val="32"/>
          <w:lang w:val="en-US" w:eastAsia="zh-CN" w:bidi="ar-SA"/>
        </w:rPr>
        <w:t>反映按规定用于伤残人员的抚恤金和按规定开支的各种伤残补助费。</w:t>
      </w:r>
    </w:p>
    <w:p w14:paraId="42C5F934">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26.医疗卫生与计划生育（类）行政事业单位医疗（款）行政单位医疗（项）：</w:t>
      </w:r>
      <w:r>
        <w:rPr>
          <w:rStyle w:val="6"/>
          <w:rFonts w:ascii="仿宋" w:hAnsi="仿宋" w:eastAsia="仿宋"/>
          <w:kern w:val="2"/>
          <w:sz w:val="32"/>
          <w:szCs w:val="32"/>
          <w:lang w:val="en-US" w:eastAsia="zh-CN" w:bidi="ar-SA"/>
        </w:rPr>
        <w:t>反映财政部门集中安排的行政单位基本医疗保险缴费经费，未参加医疗保险的行政单位的公费医疗经费，按国家规定享受离休人员、红军老战士待遇人员的医疗经费。</w:t>
      </w:r>
    </w:p>
    <w:p w14:paraId="03320891">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27. 医疗卫生与计划生育（类）行政事业单位医疗（款）事业单位医疗（项）：</w:t>
      </w:r>
      <w:r>
        <w:rPr>
          <w:rStyle w:val="6"/>
          <w:rFonts w:ascii="仿宋" w:hAnsi="仿宋" w:eastAsia="仿宋"/>
          <w:kern w:val="2"/>
          <w:sz w:val="32"/>
          <w:szCs w:val="32"/>
          <w:lang w:val="en-US" w:eastAsia="zh-CN" w:bidi="ar-SA"/>
        </w:rPr>
        <w:t>反映财政部门集中安排的事业单位基本医疗保险缴费经费，未参加医疗保险的事业单位的公费医疗经费，按国家规定享受离休人员待遇的医疗经费。</w:t>
      </w:r>
    </w:p>
    <w:p w14:paraId="211EA901">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28.节能环保支出（类）污染防治（款）水体（项）：</w:t>
      </w:r>
      <w:r>
        <w:rPr>
          <w:rStyle w:val="6"/>
          <w:rFonts w:ascii="仿宋" w:hAnsi="仿宋" w:eastAsia="仿宋"/>
          <w:kern w:val="2"/>
          <w:sz w:val="32"/>
          <w:szCs w:val="32"/>
          <w:lang w:val="en-US" w:eastAsia="zh-CN" w:bidi="ar-SA"/>
        </w:rPr>
        <w:t>反映政府在排水、污水处理、水污染防治、湖库生态环境保护、水源地保护、国土江河综合整治、河流治理与保护、地下水修复与保护等方面的支出。</w:t>
      </w:r>
    </w:p>
    <w:p w14:paraId="6A8A099C">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29.农林水事务（类）农业（款）其他农业支出（项）：</w:t>
      </w:r>
      <w:r>
        <w:rPr>
          <w:rStyle w:val="6"/>
          <w:rFonts w:ascii="仿宋" w:hAnsi="仿宋" w:eastAsia="仿宋"/>
          <w:kern w:val="2"/>
          <w:sz w:val="32"/>
          <w:szCs w:val="32"/>
          <w:lang w:val="en-US" w:eastAsia="zh-CN" w:bidi="ar-SA"/>
        </w:rPr>
        <w:t>反映其他用于农业方面的支出。</w:t>
      </w:r>
    </w:p>
    <w:p w14:paraId="7473A6E3">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30.交通运输（类）成品油价格改革对交通运输的补贴（款）成品油价格改革补贴其他支出（项）：</w:t>
      </w:r>
      <w:r>
        <w:rPr>
          <w:rStyle w:val="6"/>
          <w:rFonts w:ascii="仿宋" w:hAnsi="仿宋" w:eastAsia="仿宋"/>
          <w:kern w:val="2"/>
          <w:sz w:val="32"/>
          <w:szCs w:val="32"/>
          <w:lang w:val="en-US" w:eastAsia="zh-CN" w:bidi="ar-SA"/>
        </w:rPr>
        <w:t>反映成品油价格改革财政补贴对其他方面的支出。</w:t>
      </w:r>
    </w:p>
    <w:p w14:paraId="5BE03577">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31.资源勘探信息等支出（类）工业和信息产业监管（款）其他工业和信息产业监管支出（项）：</w:t>
      </w:r>
      <w:r>
        <w:rPr>
          <w:rStyle w:val="6"/>
          <w:rFonts w:ascii="仿宋" w:hAnsi="仿宋" w:eastAsia="仿宋"/>
          <w:kern w:val="2"/>
          <w:sz w:val="32"/>
          <w:szCs w:val="32"/>
          <w:lang w:val="en-US" w:eastAsia="zh-CN" w:bidi="ar-SA"/>
        </w:rPr>
        <w:t>反映其他用于工业和信息产业监管方面的支出。</w:t>
      </w:r>
    </w:p>
    <w:p w14:paraId="4D4C25BF">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32.援助其他地区支出（类）其他支出（款）其他（项）：</w:t>
      </w:r>
      <w:r>
        <w:rPr>
          <w:rStyle w:val="6"/>
          <w:rFonts w:ascii="仿宋" w:hAnsi="仿宋" w:eastAsia="仿宋"/>
          <w:kern w:val="2"/>
          <w:sz w:val="32"/>
          <w:szCs w:val="32"/>
          <w:lang w:val="en-US" w:eastAsia="zh-CN" w:bidi="ar-SA"/>
        </w:rPr>
        <w:t>反映援助其他地区资金中的其他支出。</w:t>
      </w:r>
    </w:p>
    <w:p w14:paraId="1DE7E865">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33. 国土海洋气象等支出（类）国土资源事务（款）其他国土资源事务支出（项）：</w:t>
      </w:r>
      <w:r>
        <w:rPr>
          <w:rStyle w:val="6"/>
          <w:rFonts w:ascii="仿宋" w:hAnsi="仿宋" w:eastAsia="仿宋"/>
          <w:kern w:val="2"/>
          <w:sz w:val="32"/>
          <w:szCs w:val="32"/>
          <w:lang w:val="en-US" w:eastAsia="zh-CN" w:bidi="ar-SA"/>
        </w:rPr>
        <w:t>反映其他用于国土资源事务方面的支出。</w:t>
      </w:r>
    </w:p>
    <w:p w14:paraId="2988A856">
      <w:pPr>
        <w:spacing w:line="540" w:lineRule="exact"/>
        <w:ind w:firstLine="643" w:firstLineChars="200"/>
        <w:jc w:val="left"/>
        <w:textAlignment w:val="baseline"/>
        <w:rPr>
          <w:rStyle w:val="6"/>
          <w:rFonts w:ascii="仿宋" w:hAnsi="仿宋" w:eastAsia="仿宋"/>
          <w:b/>
          <w:kern w:val="2"/>
          <w:sz w:val="32"/>
          <w:szCs w:val="32"/>
          <w:lang w:val="en-US" w:eastAsia="zh-CN" w:bidi="ar-SA"/>
        </w:rPr>
      </w:pPr>
      <w:r>
        <w:rPr>
          <w:rStyle w:val="6"/>
          <w:rFonts w:ascii="仿宋" w:hAnsi="仿宋" w:eastAsia="仿宋"/>
          <w:b/>
          <w:kern w:val="2"/>
          <w:sz w:val="32"/>
          <w:szCs w:val="32"/>
          <w:lang w:val="en-US" w:eastAsia="zh-CN" w:bidi="ar-SA"/>
        </w:rPr>
        <w:t>34.住房保障（类）住房改革（款）住房公积金（项）：</w:t>
      </w:r>
      <w:r>
        <w:rPr>
          <w:rStyle w:val="6"/>
          <w:rFonts w:ascii="仿宋" w:hAnsi="仿宋" w:eastAsia="仿宋"/>
          <w:kern w:val="2"/>
          <w:sz w:val="32"/>
          <w:szCs w:val="32"/>
          <w:lang w:val="en-US" w:eastAsia="zh-CN" w:bidi="ar-SA"/>
        </w:rPr>
        <w:t>反映行政事业单位按人力资源和社会保障部、财政部规定的基本工资和津贴补贴以及规定比例为职工缴纳的住房公积金。</w:t>
      </w:r>
    </w:p>
    <w:p w14:paraId="4BDBB9FD">
      <w:pPr>
        <w:spacing w:line="540" w:lineRule="exact"/>
        <w:ind w:firstLine="643" w:firstLineChars="200"/>
        <w:jc w:val="left"/>
        <w:textAlignment w:val="baseline"/>
        <w:rPr>
          <w:rStyle w:val="6"/>
          <w:rFonts w:ascii="仿宋" w:hAnsi="仿宋" w:eastAsia="仿宋"/>
          <w:kern w:val="2"/>
          <w:sz w:val="32"/>
          <w:szCs w:val="32"/>
          <w:lang w:val="en-US" w:eastAsia="zh-CN" w:bidi="ar-SA"/>
        </w:rPr>
      </w:pPr>
      <w:r>
        <w:rPr>
          <w:rStyle w:val="6"/>
          <w:rFonts w:ascii="仿宋" w:hAnsi="仿宋" w:eastAsia="仿宋"/>
          <w:b/>
          <w:kern w:val="2"/>
          <w:sz w:val="32"/>
          <w:szCs w:val="32"/>
          <w:lang w:val="en-US" w:eastAsia="zh-CN" w:bidi="ar-SA"/>
        </w:rPr>
        <w:t>35.机关运行经费：</w:t>
      </w:r>
      <w:r>
        <w:rPr>
          <w:rStyle w:val="6"/>
          <w:rFonts w:ascii="仿宋" w:hAnsi="仿宋" w:eastAsia="仿宋"/>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A61794">
      <w:pPr>
        <w:spacing w:line="540" w:lineRule="exact"/>
        <w:jc w:val="both"/>
        <w:textAlignment w:val="baseline"/>
        <w:rPr>
          <w:rStyle w:val="6"/>
          <w:kern w:val="2"/>
          <w:sz w:val="32"/>
          <w:szCs w:val="32"/>
          <w:lang w:val="en-US" w:eastAsia="zh-CN" w:bidi="ar-SA"/>
        </w:rPr>
      </w:pPr>
    </w:p>
    <w:p w14:paraId="5439640B">
      <w:pPr>
        <w:spacing w:line="540" w:lineRule="exact"/>
        <w:jc w:val="both"/>
        <w:textAlignment w:val="baseline"/>
        <w:rPr>
          <w:rStyle w:val="6"/>
          <w:kern w:val="2"/>
          <w:sz w:val="32"/>
          <w:szCs w:val="32"/>
          <w:lang w:val="en-US" w:eastAsia="zh-CN" w:bidi="ar-SA"/>
        </w:rPr>
      </w:pPr>
    </w:p>
    <w:sectPr>
      <w:pgSz w:w="11906" w:h="16838"/>
      <w:pgMar w:top="1701" w:right="1418" w:bottom="1701" w:left="1418" w:header="851" w:footer="992" w:gutter="0"/>
      <w:paperSrc/>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ADD0">
    <w:pPr>
      <w:pStyle w:val="2"/>
      <w:framePr w:wrap="around" w:vAnchor="margin" w:hAnchor="text" w:xAlign="center" w:y="1"/>
      <w:widowControl/>
      <w:snapToGrid w:val="0"/>
      <w:jc w:val="left"/>
      <w:textAlignment w:val="baseline"/>
      <w:rPr>
        <w:rStyle w:val="8"/>
        <w:kern w:val="2"/>
        <w:sz w:val="18"/>
        <w:szCs w:val="18"/>
        <w:lang w:val="en-US" w:eastAsia="zh-CN" w:bidi="ar-SA"/>
      </w:rPr>
    </w:pPr>
  </w:p>
  <w:p w14:paraId="6C1D2973">
    <w:pPr>
      <w:pStyle w:val="2"/>
      <w:widowControl/>
      <w:snapToGrid w:val="0"/>
      <w:jc w:val="left"/>
      <w:textAlignment w:val="baseline"/>
      <w:rPr>
        <w:rStyle w:val="6"/>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19DD2">
    <w:pPr>
      <w:pStyle w:val="2"/>
      <w:framePr w:wrap="around" w:vAnchor="margin" w:hAnchor="text" w:xAlign="center" w:y="1"/>
      <w:widowControl/>
      <w:snapToGrid w:val="0"/>
      <w:jc w:val="left"/>
      <w:textAlignment w:val="baseline"/>
      <w:rPr>
        <w:rStyle w:val="8"/>
        <w:kern w:val="2"/>
        <w:sz w:val="18"/>
        <w:szCs w:val="18"/>
        <w:lang w:val="en-US" w:eastAsia="zh-CN" w:bidi="ar-SA"/>
      </w:rPr>
    </w:pPr>
  </w:p>
  <w:p w14:paraId="3817429A">
    <w:pPr>
      <w:pStyle w:val="2"/>
      <w:widowControl/>
      <w:snapToGrid w:val="0"/>
      <w:jc w:val="left"/>
      <w:textAlignment w:val="baseline"/>
      <w:rPr>
        <w:rStyle w:val="6"/>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3A45B"/>
    <w:multiLevelType w:val="singleLevel"/>
    <w:tmpl w:val="ADD3A45B"/>
    <w:lvl w:ilvl="0" w:tentative="0">
      <w:start w:val="3"/>
      <w:numFmt w:val="chineseCounting"/>
      <w:suff w:val="space"/>
      <w:lvlText w:val="第%1部分"/>
      <w:lvlJc w:val="left"/>
      <w:pPr>
        <w:widowControl/>
        <w:textAlignment w:val="baseline"/>
      </w:pPr>
      <w:rPr>
        <w:rStyle w:val="6"/>
      </w:rPr>
    </w:lvl>
  </w:abstractNum>
  <w:abstractNum w:abstractNumId="1">
    <w:nsid w:val="02166D17"/>
    <w:multiLevelType w:val="singleLevel"/>
    <w:tmpl w:val="02166D17"/>
    <w:lvl w:ilvl="0" w:tentative="0">
      <w:start w:val="1"/>
      <w:numFmt w:val="decimal"/>
      <w:suff w:val="nothing"/>
      <w:lvlText w:val="（%1）"/>
      <w:lvlJc w:val="left"/>
      <w:pPr>
        <w:widowControl/>
        <w:textAlignment w:val="baseline"/>
      </w:pPr>
      <w:rPr>
        <w:rStyle w:val="6"/>
      </w:rPr>
    </w:lvl>
  </w:abstractNum>
  <w:abstractNum w:abstractNumId="2">
    <w:nsid w:val="730B37B3"/>
    <w:multiLevelType w:val="multilevel"/>
    <w:tmpl w:val="730B37B3"/>
    <w:lvl w:ilvl="0" w:tentative="0">
      <w:start w:val="1"/>
      <w:numFmt w:val="japaneseCounting"/>
      <w:lvlText w:val="%1、"/>
      <w:lvlJc w:val="left"/>
      <w:pPr>
        <w:widowControl/>
        <w:ind w:left="720" w:hanging="720"/>
        <w:textAlignment w:val="baseline"/>
      </w:pPr>
      <w:rPr>
        <w:rStyle w:val="6"/>
      </w:rPr>
    </w:lvl>
    <w:lvl w:ilvl="1" w:tentative="0">
      <w:start w:val="2"/>
      <w:numFmt w:val="japaneseCounting"/>
      <w:lvlText w:val="%1、"/>
      <w:lvlJc w:val="left"/>
      <w:pPr>
        <w:widowControl/>
        <w:ind w:left="1140" w:hanging="720"/>
        <w:textAlignment w:val="baseline"/>
      </w:pPr>
      <w:rPr>
        <w:rStyle w:val="6"/>
      </w:rPr>
    </w:lvl>
    <w:lvl w:ilvl="2" w:tentative="0">
      <w:start w:val="1"/>
      <w:numFmt w:val="lowerRoman"/>
      <w:lvlText w:val="%1."/>
      <w:lvlJc w:val="right"/>
      <w:pPr>
        <w:widowControl/>
        <w:ind w:left="1260" w:hanging="420"/>
        <w:textAlignment w:val="baseline"/>
      </w:pPr>
      <w:rPr>
        <w:rStyle w:val="6"/>
      </w:rPr>
    </w:lvl>
    <w:lvl w:ilvl="3" w:tentative="0">
      <w:start w:val="1"/>
      <w:numFmt w:val="decimal"/>
      <w:lvlText w:val="%1."/>
      <w:lvlJc w:val="left"/>
      <w:pPr>
        <w:widowControl/>
        <w:ind w:left="1680" w:hanging="420"/>
        <w:textAlignment w:val="baseline"/>
      </w:pPr>
      <w:rPr>
        <w:rStyle w:val="6"/>
      </w:rPr>
    </w:lvl>
    <w:lvl w:ilvl="4" w:tentative="0">
      <w:start w:val="1"/>
      <w:numFmt w:val="lowerLetter"/>
      <w:lvlText w:val="%1)"/>
      <w:lvlJc w:val="left"/>
      <w:pPr>
        <w:widowControl/>
        <w:ind w:left="2100" w:hanging="420"/>
        <w:textAlignment w:val="baseline"/>
      </w:pPr>
      <w:rPr>
        <w:rStyle w:val="6"/>
      </w:rPr>
    </w:lvl>
    <w:lvl w:ilvl="5" w:tentative="0">
      <w:start w:val="1"/>
      <w:numFmt w:val="lowerRoman"/>
      <w:lvlText w:val="%1."/>
      <w:lvlJc w:val="right"/>
      <w:pPr>
        <w:widowControl/>
        <w:ind w:left="2520" w:hanging="420"/>
        <w:textAlignment w:val="baseline"/>
      </w:pPr>
      <w:rPr>
        <w:rStyle w:val="6"/>
      </w:rPr>
    </w:lvl>
    <w:lvl w:ilvl="6" w:tentative="0">
      <w:start w:val="1"/>
      <w:numFmt w:val="decimal"/>
      <w:lvlText w:val="%1."/>
      <w:lvlJc w:val="left"/>
      <w:pPr>
        <w:widowControl/>
        <w:ind w:left="2940" w:hanging="420"/>
        <w:textAlignment w:val="baseline"/>
      </w:pPr>
      <w:rPr>
        <w:rStyle w:val="6"/>
      </w:rPr>
    </w:lvl>
    <w:lvl w:ilvl="7" w:tentative="0">
      <w:start w:val="1"/>
      <w:numFmt w:val="lowerLetter"/>
      <w:lvlText w:val="%1)"/>
      <w:lvlJc w:val="left"/>
      <w:pPr>
        <w:widowControl/>
        <w:ind w:left="3360" w:hanging="420"/>
        <w:textAlignment w:val="baseline"/>
      </w:pPr>
      <w:rPr>
        <w:rStyle w:val="6"/>
      </w:rPr>
    </w:lvl>
    <w:lvl w:ilvl="8" w:tentative="0">
      <w:start w:val="1"/>
      <w:numFmt w:val="lowerRoman"/>
      <w:lvlText w:val="%1."/>
      <w:lvlJc w:val="right"/>
      <w:pPr>
        <w:widowControl/>
        <w:ind w:left="3780" w:hanging="420"/>
        <w:textAlignment w:val="baseline"/>
      </w:pPr>
      <w:rPr>
        <w:rStyle w:val="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jA0YTVjMWMxZTI0MWQ1ZDg4OGRkNGQzNjgyMzkxOTIifQ=="/>
  </w:docVars>
  <w:rsids>
    <w:rsidRoot w:val="00000000"/>
    <w:rsid w:val="00566D25"/>
    <w:rsid w:val="00933FD2"/>
    <w:rsid w:val="00B95E08"/>
    <w:rsid w:val="1F8E74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uiPriority w:val="0"/>
    <w:pPr>
      <w:jc w:val="both"/>
      <w:textAlignment w:val="baseline"/>
    </w:pPr>
    <w:rPr>
      <w:rFonts w:ascii="Times New Roman" w:hAnsi="Times New Roman"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customStyle="1" w:styleId="6">
    <w:name w:val="NormalCharacter"/>
    <w:link w:val="1"/>
    <w:semiHidden/>
    <w:qFormat/>
    <w:uiPriority w:val="0"/>
  </w:style>
  <w:style w:type="table" w:customStyle="1" w:styleId="7">
    <w:name w:val="TableNormal"/>
    <w:semiHidden/>
    <w:uiPriority w:val="0"/>
  </w:style>
  <w:style w:type="character" w:customStyle="1" w:styleId="8">
    <w:name w:val="PageNumber"/>
    <w:basedOn w:val="6"/>
    <w:link w:val="1"/>
    <w:qFormat/>
    <w:uiPriority w:val="0"/>
  </w:style>
  <w:style w:type="character" w:customStyle="1" w:styleId="9">
    <w:name w:val="UserStyle_0"/>
    <w:link w:val="3"/>
    <w:uiPriority w:val="0"/>
    <w:rPr>
      <w:kern w:val="2"/>
      <w:sz w:val="18"/>
      <w:szCs w:val="18"/>
    </w:rPr>
  </w:style>
  <w:style w:type="character" w:customStyle="1" w:styleId="10">
    <w:name w:val="UserStyle_1"/>
    <w:link w:val="11"/>
    <w:uiPriority w:val="0"/>
    <w:rPr>
      <w:kern w:val="2"/>
      <w:sz w:val="18"/>
      <w:szCs w:val="18"/>
    </w:rPr>
  </w:style>
  <w:style w:type="paragraph" w:customStyle="1" w:styleId="11">
    <w:name w:val="Acetate"/>
    <w:basedOn w:val="1"/>
    <w:link w:val="10"/>
    <w:uiPriority w:val="0"/>
    <w:pPr>
      <w:jc w:val="both"/>
      <w:textAlignment w:val="baseline"/>
    </w:pPr>
    <w:rPr>
      <w:kern w:val="2"/>
      <w:sz w:val="18"/>
      <w:szCs w:val="18"/>
      <w:lang w:bidi="ar-SA"/>
    </w:rPr>
  </w:style>
  <w:style w:type="paragraph" w:customStyle="1" w:styleId="12">
    <w:name w:val="UserStyle_2"/>
    <w:basedOn w:val="1"/>
    <w:uiPriority w:val="0"/>
    <w:pPr>
      <w:widowControl/>
      <w:jc w:val="left"/>
      <w:textAlignment w:val="baseline"/>
    </w:pPr>
    <w:rPr>
      <w:rFonts w:ascii="Verdana" w:hAnsi="Verdana" w:eastAsia="仿宋_GB2312"/>
      <w:kern w:val="0"/>
      <w:sz w:val="28"/>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8407</Words>
  <Characters>9246</Characters>
  <TotalTime>0</TotalTime>
  <ScaleCrop>false</ScaleCrop>
  <LinksUpToDate>false</LinksUpToDate>
  <CharactersWithSpaces>9282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2024-08-14T02:33:40Z</dcterms:created>
  <dc:creator>Administrator</dc:creator>
  <cp:lastModifiedBy>Administrator</cp:lastModifiedBy>
  <dcterms:modified xsi:type="dcterms:W3CDTF">2024-08-14T02:34:05Z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5D05D89691324804920CA21259444789_12</vt:lpwstr>
  </property>
</Properties>
</file>