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兴隆台区项目管家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上半年工作总结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项目管家服务内容，发挥项目管家助推项目建设的实际作用，提升我区项目管家服务质量，按照省、市、区工作要求，我局积极落实相关工作要求加强日常协调，提高服务意识,并及时总结相关工作经验，现将兴隆台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项目管家工作情况汇报如下：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兴隆台区</w:t>
      </w:r>
      <w:r>
        <w:rPr>
          <w:rFonts w:hint="eastAsia" w:ascii="仿宋_GB2312" w:eastAsia="仿宋_GB2312"/>
          <w:sz w:val="32"/>
          <w:szCs w:val="32"/>
          <w:highlight w:val="none"/>
        </w:rPr>
        <w:t>5000万元以上</w:t>
      </w:r>
      <w:r>
        <w:rPr>
          <w:rFonts w:hint="eastAsia" w:ascii="仿宋_GB2312" w:eastAsia="仿宋_GB2312"/>
          <w:sz w:val="32"/>
          <w:szCs w:val="32"/>
          <w:highlight w:val="none"/>
          <w:lang w:val="en-US" w:eastAsia="zh-CN"/>
        </w:rPr>
        <w:t>非政府投资类项目</w:t>
      </w:r>
      <w:r>
        <w:rPr>
          <w:rFonts w:hint="eastAsia" w:ascii="仿宋_GB2312" w:hAnsi="仿宋_GB2312" w:eastAsia="仿宋_GB2312" w:cs="仿宋_GB2312"/>
          <w:sz w:val="32"/>
          <w:szCs w:val="32"/>
          <w:highlight w:val="none"/>
          <w:lang w:val="en-US" w:eastAsia="zh-CN"/>
        </w:rPr>
        <w:t>12项，其中，新开工3项，复工9项（竣工9项）。发改局和住建局</w:t>
      </w:r>
      <w:r>
        <w:rPr>
          <w:rFonts w:hint="eastAsia" w:ascii="仿宋_GB2312" w:hAnsi="仿宋_GB2312" w:eastAsia="仿宋_GB2312" w:cs="仿宋_GB2312"/>
          <w:sz w:val="32"/>
          <w:szCs w:val="32"/>
          <w:highlight w:val="none"/>
        </w:rPr>
        <w:t>配备</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b w:val="0"/>
          <w:bCs w:val="0"/>
          <w:sz w:val="32"/>
          <w:szCs w:val="32"/>
          <w:highlight w:val="none"/>
        </w:rPr>
        <w:t>目</w:t>
      </w:r>
      <w:r>
        <w:rPr>
          <w:rFonts w:hint="eastAsia" w:ascii="仿宋_GB2312" w:hAnsi="仿宋_GB2312" w:eastAsia="仿宋_GB2312" w:cs="仿宋_GB2312"/>
          <w:sz w:val="32"/>
          <w:szCs w:val="32"/>
          <w:highlight w:val="none"/>
        </w:rPr>
        <w:t>管家</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项目管家</w:t>
      </w:r>
      <w:r>
        <w:rPr>
          <w:rFonts w:hint="eastAsia" w:ascii="仿宋_GB2312" w:hAnsi="仿宋_GB2312" w:eastAsia="仿宋_GB2312" w:cs="仿宋_GB2312"/>
          <w:sz w:val="32"/>
          <w:szCs w:val="32"/>
          <w:highlight w:val="none"/>
          <w:lang w:eastAsia="zh-CN"/>
        </w:rPr>
        <w:t>采取</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val="en-US" w:eastAsia="zh-CN"/>
        </w:rPr>
        <w:t>调研</w:t>
      </w:r>
      <w:r>
        <w:rPr>
          <w:rFonts w:hint="eastAsia" w:ascii="仿宋_GB2312" w:hAnsi="仿宋_GB2312" w:eastAsia="仿宋_GB2312" w:cs="仿宋_GB2312"/>
          <w:sz w:val="32"/>
          <w:szCs w:val="32"/>
          <w:highlight w:val="none"/>
        </w:rPr>
        <w:t>、电话沟通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微信回访</w:t>
      </w:r>
      <w:r>
        <w:rPr>
          <w:rFonts w:hint="eastAsia" w:ascii="仿宋_GB2312" w:hAnsi="仿宋_GB2312" w:eastAsia="仿宋_GB2312" w:cs="仿宋_GB2312"/>
          <w:sz w:val="32"/>
          <w:szCs w:val="32"/>
          <w:highlight w:val="none"/>
          <w:lang w:val="en-US" w:eastAsia="zh-CN"/>
        </w:rPr>
        <w:t>等多种方式为</w:t>
      </w:r>
      <w:r>
        <w:rPr>
          <w:rFonts w:hint="eastAsia" w:ascii="仿宋_GB2312" w:hAnsi="仿宋_GB2312" w:eastAsia="仿宋_GB2312" w:cs="仿宋_GB2312"/>
          <w:sz w:val="32"/>
          <w:szCs w:val="32"/>
          <w:highlight w:val="none"/>
          <w:lang w:eastAsia="zh-CN"/>
        </w:rPr>
        <w:t>企业服务</w:t>
      </w:r>
      <w:r>
        <w:rPr>
          <w:rFonts w:hint="eastAsia" w:ascii="仿宋_GB2312" w:hAnsi="仿宋_GB2312" w:eastAsia="仿宋_GB2312" w:cs="仿宋_GB2312"/>
          <w:sz w:val="32"/>
          <w:szCs w:val="32"/>
          <w:highlight w:val="none"/>
          <w:lang w:val="en-US" w:eastAsia="zh-CN"/>
        </w:rPr>
        <w:t>66次，经企业反馈尚无问题存在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仿宋_GB2312" w:eastAsia="仿宋_GB2312" w:cs="仿宋_GB2312"/>
          <w:sz w:val="32"/>
          <w:szCs w:val="32"/>
        </w:rPr>
        <w:t>兴隆台区规模以上工业企业共2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家，工信局</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位领导班子成员</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担任管家。项目管家每月与企业沟通一次，掌握企业生产运行情况及存在的问题，</w:t>
      </w:r>
      <w:r>
        <w:rPr>
          <w:rFonts w:hint="eastAsia" w:ascii="仿宋_GB2312" w:hAnsi="黑体" w:eastAsia="仿宋_GB2312"/>
          <w:color w:val="auto"/>
          <w:sz w:val="32"/>
          <w:szCs w:val="32"/>
          <w:lang w:eastAsia="zh-CN"/>
        </w:rPr>
        <w:t>上半年</w:t>
      </w:r>
      <w:r>
        <w:rPr>
          <w:rFonts w:hint="eastAsia" w:ascii="仿宋_GB2312" w:hAnsi="黑体" w:eastAsia="仿宋_GB2312"/>
          <w:color w:val="auto"/>
          <w:sz w:val="32"/>
          <w:szCs w:val="32"/>
        </w:rPr>
        <w:t>以来帮助企业解决问题</w:t>
      </w:r>
      <w:r>
        <w:rPr>
          <w:rFonts w:hint="eastAsia" w:ascii="仿宋_GB2312" w:hAnsi="黑体" w:eastAsia="仿宋_GB2312"/>
          <w:color w:val="auto"/>
          <w:sz w:val="32"/>
          <w:szCs w:val="32"/>
          <w:lang w:val="en-US" w:eastAsia="zh-CN"/>
        </w:rPr>
        <w:t>14</w:t>
      </w:r>
      <w:r>
        <w:rPr>
          <w:rFonts w:hint="eastAsia" w:ascii="仿宋_GB2312" w:hAnsi="黑体" w:eastAsia="仿宋_GB2312"/>
          <w:color w:val="auto"/>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兴隆台区限额以上批零住餐企业共有</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商务局配备项</w:t>
      </w:r>
      <w:r>
        <w:rPr>
          <w:rFonts w:hint="eastAsia" w:ascii="仿宋_GB2312" w:hAnsi="仿宋_GB2312" w:eastAsia="仿宋_GB2312" w:cs="仿宋_GB2312"/>
          <w:sz w:val="32"/>
          <w:szCs w:val="32"/>
          <w:lang w:val="en-US" w:eastAsia="zh-CN"/>
        </w:rPr>
        <w:t>目管家27人。上半年共累计服务468余次，始终为企业提供一对一精准高效服务，深入走访企业调研，详细了解企业发展现状，听取企业发展需求和意见建议，充分发挥项目管家作用，助推经济高质量发展。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兴隆台区市场主体</w:t>
      </w:r>
      <w:r>
        <w:rPr>
          <w:rFonts w:hint="default" w:ascii="仿宋_GB2312" w:hAnsi="仿宋_GB2312" w:eastAsia="仿宋_GB2312" w:cs="仿宋_GB2312"/>
          <w:sz w:val="32"/>
          <w:szCs w:val="32"/>
          <w:lang w:val="en-US" w:eastAsia="zh-CN"/>
        </w:rPr>
        <w:t>中小微企业配备“公共管家”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完成平台录入中小微企业</w:t>
      </w:r>
      <w:r>
        <w:rPr>
          <w:rFonts w:hint="eastAsia" w:ascii="仿宋_GB2312" w:hAnsi="仿宋_GB2312" w:eastAsia="仿宋_GB2312" w:cs="仿宋_GB2312"/>
          <w:sz w:val="32"/>
          <w:szCs w:val="32"/>
          <w:lang w:val="en-US" w:eastAsia="zh-CN"/>
        </w:rPr>
        <w:t>27926</w:t>
      </w:r>
      <w:r>
        <w:rPr>
          <w:rFonts w:hint="default"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val="en-US" w:eastAsia="zh-CN"/>
        </w:rPr>
        <w:t>街道、社区</w:t>
      </w:r>
      <w:r>
        <w:rPr>
          <w:rFonts w:hint="default" w:ascii="仿宋_GB2312" w:hAnsi="仿宋_GB2312" w:eastAsia="仿宋_GB2312" w:cs="仿宋_GB2312"/>
          <w:sz w:val="32"/>
          <w:szCs w:val="32"/>
          <w:lang w:val="en-US" w:eastAsia="zh-CN"/>
        </w:rPr>
        <w:t>配备</w:t>
      </w:r>
      <w:r>
        <w:rPr>
          <w:rFonts w:hint="eastAsia" w:ascii="仿宋_GB2312" w:hAnsi="仿宋_GB2312" w:eastAsia="仿宋_GB2312" w:cs="仿宋_GB2312"/>
          <w:sz w:val="32"/>
          <w:szCs w:val="32"/>
          <w:lang w:val="en-US" w:eastAsia="zh-CN"/>
        </w:rPr>
        <w:t>641</w:t>
      </w:r>
      <w:r>
        <w:rPr>
          <w:rFonts w:hint="default" w:ascii="仿宋_GB2312" w:hAnsi="仿宋_GB2312" w:eastAsia="仿宋_GB2312" w:cs="仿宋_GB2312"/>
          <w:sz w:val="32"/>
          <w:szCs w:val="32"/>
          <w:lang w:val="en-US" w:eastAsia="zh-CN"/>
        </w:rPr>
        <w:t>名公共管家。</w:t>
      </w:r>
      <w:r>
        <w:rPr>
          <w:rFonts w:hint="eastAsia" w:ascii="仿宋_GB2312" w:hAnsi="仿宋_GB2312" w:eastAsia="仿宋_GB2312" w:cs="仿宋_GB2312"/>
          <w:sz w:val="32"/>
          <w:szCs w:val="32"/>
          <w:lang w:eastAsia="zh-CN"/>
        </w:rPr>
        <w:t>积极服务企业，发挥项目管家精准服务企业作用。力求实现“全覆盖、以点带面”的服务体系。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二、具体举措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bCs/>
          <w:sz w:val="32"/>
          <w:szCs w:val="32"/>
          <w:lang w:val="en-US" w:eastAsia="zh-CN"/>
        </w:rPr>
      </w:pPr>
      <w:r>
        <w:rPr>
          <w:rFonts w:hint="eastAsia" w:ascii="仿宋_GB2312" w:hAnsi="Times New Roman" w:eastAsia="仿宋_GB2312"/>
          <w:bCs/>
          <w:sz w:val="32"/>
          <w:szCs w:val="32"/>
          <w:lang w:val="en-US" w:eastAsia="zh-CN"/>
        </w:rPr>
        <w:t>兴隆台区在项目管家时刻服务项目的前提下，区委区政府会定期集中召开规划建设工作会议，区委区政府领导和区直各部门在会议上与各项目建设单位进行交流沟通，听取各项目推进情况汇报以及需要解决的问题，区直相关部门会直接在会上分别就企业提出的问题进行解答，并提出针对性解决方案或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highlight w:val="none"/>
          <w:lang w:val="en-US" w:eastAsia="zh-CN"/>
        </w:rPr>
      </w:pPr>
      <w:r>
        <w:rPr>
          <w:rFonts w:hint="eastAsia" w:ascii="仿宋_GB2312" w:hAnsi="Times New Roman" w:eastAsia="仿宋_GB2312"/>
          <w:bCs/>
          <w:sz w:val="32"/>
          <w:szCs w:val="32"/>
          <w:lang w:val="en-US" w:eastAsia="zh-CN"/>
        </w:rPr>
        <w:t>区发改局</w:t>
      </w:r>
      <w:r>
        <w:rPr>
          <w:rFonts w:hint="eastAsia" w:ascii="仿宋" w:hAnsi="仿宋" w:eastAsia="仿宋" w:cs="仿宋"/>
          <w:sz w:val="32"/>
          <w:szCs w:val="32"/>
        </w:rPr>
        <w:t>全力推进项目</w:t>
      </w:r>
      <w:r>
        <w:rPr>
          <w:rFonts w:hint="eastAsia" w:ascii="仿宋" w:hAnsi="仿宋" w:eastAsia="仿宋" w:cs="仿宋"/>
          <w:sz w:val="32"/>
          <w:szCs w:val="32"/>
          <w:lang w:eastAsia="zh-CN"/>
        </w:rPr>
        <w:t>建设</w:t>
      </w:r>
      <w:r>
        <w:rPr>
          <w:rFonts w:hint="eastAsia" w:ascii="仿宋" w:hAnsi="仿宋" w:eastAsia="仿宋" w:cs="仿宋"/>
          <w:sz w:val="32"/>
          <w:szCs w:val="32"/>
        </w:rPr>
        <w:t>。坚决做实项目包扶责任制和项目管家制度，</w:t>
      </w:r>
      <w:r>
        <w:rPr>
          <w:rFonts w:hint="eastAsia" w:ascii="仿宋" w:hAnsi="仿宋" w:eastAsia="仿宋" w:cs="仿宋"/>
          <w:sz w:val="32"/>
          <w:szCs w:val="32"/>
          <w:lang w:val="en-US" w:eastAsia="zh-CN"/>
        </w:rPr>
        <w:t>继续保持对项目的跟踪服务，</w:t>
      </w:r>
      <w:r>
        <w:rPr>
          <w:rFonts w:hint="eastAsia" w:ascii="仿宋" w:hAnsi="仿宋" w:eastAsia="仿宋" w:cs="仿宋"/>
          <w:sz w:val="32"/>
          <w:szCs w:val="32"/>
        </w:rPr>
        <w:t>落实好</w:t>
      </w:r>
      <w:r>
        <w:rPr>
          <w:rFonts w:hint="eastAsia" w:ascii="仿宋" w:hAnsi="仿宋" w:eastAsia="仿宋" w:cs="仿宋"/>
          <w:sz w:val="32"/>
          <w:szCs w:val="32"/>
          <w:lang w:eastAsia="zh-CN"/>
        </w:rPr>
        <w:t>我区</w:t>
      </w:r>
      <w:r>
        <w:rPr>
          <w:rFonts w:hint="eastAsia" w:ascii="仿宋" w:hAnsi="仿宋" w:eastAsia="仿宋" w:cs="仿宋"/>
          <w:sz w:val="32"/>
          <w:szCs w:val="32"/>
        </w:rPr>
        <w:t>“规建会”安排部署，让解决问题出效果、出成绩。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区工信局</w:t>
      </w:r>
      <w:r>
        <w:rPr>
          <w:rFonts w:hint="eastAsia" w:ascii="仿宋_GB2312" w:hAnsi="仿宋_GB2312" w:eastAsia="仿宋_GB2312" w:cs="仿宋_GB2312"/>
          <w:color w:val="auto"/>
          <w:sz w:val="32"/>
          <w:szCs w:val="32"/>
          <w:lang w:val="en-US" w:eastAsia="zh-CN"/>
        </w:rPr>
        <w:t>坚持“目标导向、问题导向、结果导向”，以更高的政治站位、更务实的工作作风、更有力的工作举措，全力以赴打好打赢攻坚之年攻坚之战。</w:t>
      </w:r>
      <w:r>
        <w:rPr>
          <w:rFonts w:hint="eastAsia" w:ascii="楷体_GB2312" w:hAnsi="楷体_GB2312" w:eastAsia="楷体_GB2312" w:cs="楷体_GB2312"/>
          <w:b w:val="0"/>
          <w:bCs w:val="0"/>
          <w:color w:val="auto"/>
          <w:sz w:val="32"/>
          <w:szCs w:val="32"/>
          <w:highlight w:val="none"/>
          <w:lang w:val="en-US" w:eastAsia="zh-CN"/>
        </w:rPr>
        <w:t>一是</w:t>
      </w:r>
      <w:r>
        <w:rPr>
          <w:rFonts w:hint="eastAsia" w:ascii="楷体_GB2312" w:hAnsi="楷体_GB2312" w:eastAsia="楷体_GB2312" w:cs="楷体_GB2312"/>
          <w:color w:val="auto"/>
          <w:sz w:val="32"/>
          <w:szCs w:val="32"/>
          <w:highlight w:val="none"/>
          <w:lang w:val="en-US" w:eastAsia="zh-CN"/>
        </w:rPr>
        <w:t>发挥区域协同发展。</w:t>
      </w:r>
      <w:r>
        <w:rPr>
          <w:rFonts w:hint="eastAsia" w:ascii="仿宋_GB2312" w:hAnsi="仿宋_GB2312" w:eastAsia="仿宋_GB2312" w:cs="仿宋_GB2312"/>
          <w:sz w:val="32"/>
          <w:szCs w:val="32"/>
        </w:rPr>
        <w:t>强化“日保周、周保月、月保季”“三段式”指标调度，</w:t>
      </w:r>
      <w:r>
        <w:rPr>
          <w:rFonts w:hint="eastAsia" w:ascii="仿宋_GB2312" w:hAnsi="仿宋_GB2312" w:eastAsia="仿宋_GB2312" w:cs="仿宋_GB2312"/>
          <w:sz w:val="32"/>
          <w:szCs w:val="32"/>
          <w:lang w:val="en-US" w:eastAsia="zh-CN"/>
        </w:rPr>
        <w:t>协同高新区</w:t>
      </w:r>
      <w:r>
        <w:rPr>
          <w:rFonts w:hint="eastAsia" w:ascii="仿宋_GB2312" w:hAnsi="仿宋_GB2312" w:eastAsia="仿宋_GB2312" w:cs="仿宋_GB2312"/>
          <w:sz w:val="32"/>
          <w:szCs w:val="32"/>
        </w:rPr>
        <w:t>组建增产增效攻坚专班，</w:t>
      </w:r>
      <w:r>
        <w:rPr>
          <w:rFonts w:hint="eastAsia" w:ascii="仿宋_GB2312" w:hAnsi="仿宋_GB2312" w:eastAsia="仿宋_GB2312" w:cs="仿宋_GB2312"/>
          <w:sz w:val="32"/>
          <w:szCs w:val="32"/>
          <w:lang w:val="en-US" w:eastAsia="zh-CN"/>
        </w:rPr>
        <w:t>加大</w:t>
      </w:r>
      <w:r>
        <w:rPr>
          <w:rFonts w:hint="eastAsia" w:ascii="仿宋_GB2312" w:hAnsi="仿宋_GB2312" w:eastAsia="仿宋_GB2312" w:cs="仿宋_GB2312"/>
          <w:color w:val="auto"/>
          <w:sz w:val="32"/>
          <w:szCs w:val="32"/>
          <w:highlight w:val="none"/>
          <w:lang w:val="en-US" w:eastAsia="zh-CN"/>
        </w:rPr>
        <w:t>对重点企业走访调研，助力企业平稳生产。</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是精准监测</w:t>
      </w:r>
      <w:r>
        <w:rPr>
          <w:rFonts w:hint="eastAsia" w:ascii="楷体_GB2312" w:hAnsi="楷体_GB2312" w:eastAsia="楷体_GB2312" w:cs="楷体_GB2312"/>
          <w:sz w:val="32"/>
          <w:szCs w:val="32"/>
          <w:lang w:val="en-US" w:eastAsia="zh-CN"/>
        </w:rPr>
        <w:t>经济</w:t>
      </w:r>
      <w:r>
        <w:rPr>
          <w:rFonts w:hint="eastAsia" w:ascii="楷体_GB2312" w:hAnsi="楷体_GB2312" w:eastAsia="楷体_GB2312" w:cs="楷体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对重点企业预测数据的监测质量和预警研判，准确掌握重点企业真实的生产经营情况。结合企业产能、产量、价格等关键因素，强力开展指标攻坚，全面做好政策激励，全力以赴增存量、挖潜量，做到应统尽统、颗粒归仓。</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是强力稳控平稳运行</w:t>
      </w:r>
      <w:r>
        <w:rPr>
          <w:rFonts w:hint="eastAsia" w:ascii="仿宋_GB2312" w:hAnsi="仿宋_GB2312" w:eastAsia="仿宋_GB2312" w:cs="仿宋_GB2312"/>
          <w:sz w:val="32"/>
          <w:szCs w:val="32"/>
        </w:rPr>
        <w:t>。利用企业项目管家和助企专班，及时发现苗头性、趋势性问题，向攻坚专班进行反馈，对下降面超10%的企业，全面梳理存在的问题，建立问题台账，全力做好要素保障和各项</w:t>
      </w:r>
      <w:r>
        <w:rPr>
          <w:rFonts w:hint="eastAsia" w:ascii="仿宋_GB2312" w:hAnsi="仿宋_GB2312" w:eastAsia="仿宋_GB2312" w:cs="仿宋_GB2312"/>
          <w:sz w:val="32"/>
          <w:szCs w:val="32"/>
          <w:lang w:val="en-US" w:eastAsia="zh-CN"/>
        </w:rPr>
        <w:t>惠企</w:t>
      </w:r>
      <w:r>
        <w:rPr>
          <w:rFonts w:hint="eastAsia" w:ascii="仿宋_GB2312" w:hAnsi="仿宋_GB2312" w:eastAsia="仿宋_GB2312" w:cs="仿宋_GB2312"/>
          <w:sz w:val="32"/>
          <w:szCs w:val="32"/>
        </w:rPr>
        <w:t>服务工作。</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积极沟通协调长城钻探</w:t>
      </w:r>
      <w:r>
        <w:rPr>
          <w:rFonts w:hint="eastAsia" w:ascii="仿宋_GB2312" w:hAnsi="仿宋_GB2312" w:eastAsia="仿宋_GB2312" w:cs="仿宋_GB2312"/>
          <w:sz w:val="32"/>
          <w:szCs w:val="32"/>
          <w:lang w:val="en-US" w:eastAsia="zh-CN"/>
        </w:rPr>
        <w:t>10家二级单位</w:t>
      </w:r>
      <w:r>
        <w:rPr>
          <w:rFonts w:hint="eastAsia" w:ascii="仿宋_GB2312" w:hAnsi="仿宋_GB2312" w:eastAsia="仿宋_GB2312" w:cs="仿宋_GB2312"/>
          <w:sz w:val="32"/>
          <w:szCs w:val="32"/>
        </w:rPr>
        <w:t>和西部钻井，</w:t>
      </w:r>
      <w:r>
        <w:rPr>
          <w:rFonts w:hint="eastAsia" w:ascii="仿宋_GB2312" w:hAnsi="仿宋_GB2312" w:eastAsia="仿宋_GB2312" w:cs="仿宋_GB2312"/>
          <w:sz w:val="32"/>
          <w:szCs w:val="32"/>
          <w:lang w:val="en-US" w:eastAsia="zh-CN"/>
        </w:rPr>
        <w:t>全力挖增量、控减量，力争达到预期目标。</w:t>
      </w:r>
      <w:r>
        <w:rPr>
          <w:rFonts w:hint="eastAsia" w:ascii="楷体_GB2312" w:hAnsi="楷体_GB2312" w:eastAsia="楷体_GB2312" w:cs="楷体_GB2312"/>
          <w:b w:val="0"/>
          <w:bCs w:val="0"/>
          <w:color w:val="auto"/>
          <w:kern w:val="2"/>
          <w:sz w:val="32"/>
          <w:szCs w:val="32"/>
          <w:lang w:val="en-US" w:eastAsia="zh-CN" w:bidi="ar-SA"/>
        </w:rPr>
        <w:t>四是指导企业争取国家级绿色工厂</w:t>
      </w:r>
      <w:r>
        <w:rPr>
          <w:rFonts w:hint="eastAsia" w:ascii="仿宋_GB2312" w:hAnsi="仿宋_GB2312" w:eastAsia="仿宋_GB2312" w:cs="仿宋_GB2312"/>
          <w:b w:val="0"/>
          <w:bCs w:val="0"/>
          <w:color w:val="auto"/>
          <w:kern w:val="2"/>
          <w:sz w:val="32"/>
          <w:szCs w:val="32"/>
          <w:lang w:val="en-US" w:eastAsia="zh-CN" w:bidi="ar-SA"/>
        </w:rPr>
        <w:t>。多次</w:t>
      </w:r>
      <w:r>
        <w:rPr>
          <w:rFonts w:hint="eastAsia" w:ascii="仿宋_GB2312" w:hAnsi="仿宋_GB2312" w:eastAsia="仿宋_GB2312" w:cs="仿宋_GB2312"/>
          <w:color w:val="auto"/>
          <w:kern w:val="2"/>
          <w:sz w:val="32"/>
          <w:szCs w:val="32"/>
          <w:lang w:val="en-US" w:eastAsia="zh-CN" w:bidi="ar-SA"/>
        </w:rPr>
        <w:t>实地调研盘锦鼎翔米业有限公司，为企业送去相关文件，指导企业为下一步争取国家级绿色工厂。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商务局积极深入企业调研，助力企业发展。今年上半年商务局对项目管家企业开展了全覆盖实地走访和安全生产、创城工作检查，详细掌握企业进展情况、经营情况，每位项目管家负责人做到经常与企业保持沟通联系，并在管家平台做好服务记录。同时局领导班子分别带队到瀚新全都有超市、同济家居、鹏欣水游城、霞光府全都、麦凯乐、新玛特、兴隆大厦、桔子广场、兴隆四百等各大商场及瀚新国际酒店、七天优品酒店、小时候餐饮、五岔沟海鲜、东方银座酒店等各大餐饮企业进行燃气安全生产隐患排查和节假日安全生产监督工作。又对我区域范围内友谊街加油站、海伦加油站、福达加油检查、兴隆加油站等七家企业进行安全生产指引38条和对我区内加油站大跨度罩棚安全保障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促进汽车、成品油等大宗商品消费，采取市、县区叠加联动的方式，以购物券形式发放，兴隆台区限上汽车经销企业购置非营运车辆（不含二手车），并在兴隆台区税务局缴纳相关税费的个人消费者，可申领兴隆台汽车消费补贴，此次活动不紧促进汽车行业实现健康持续发展，还真真切切做到亲商暖企，为企业解忧。五月份在清明小长假的带动和五一假期的提前消费，使得地区服务产业和消费市场全面复苏，助力提高消费者的意愿，为迎合国务院印发的推动大规模设备更新和消费品以旧换新行动方案，让我市的一些大型商业企业在汽车、家电、家装等消费品上纷纷推出各项优惠政策，释放出了市场巨大潜力，既能促进消费，可拉动投资，既惠企又利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城期间，及时向兴隆大厦、大商新玛特、麦凯乐、万达广场、全都有等大型商超等企业发放创城宣传工艺广告条幅，帮助部分企业解决经费紧张等问题，得到企业的高度赞赏，企业负责人纷纷表示全力配合创城工作。六月初在端午节节假日期间，姚红军局长的带领下再一次对餐饮、酒店、商超等企业开展专项安全生产、防汛和创城工作，坚决守牢安全底线，全力确保群众安心过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三、下一步工作安排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在完善服务的基础上，努力解决企业提出问题，将帮扶工作做到实处，切实帮助企业解决生产经营中遇到的问题难题</w:t>
      </w:r>
      <w:r>
        <w:rPr>
          <w:rFonts w:hint="eastAsia" w:ascii="仿宋_GB2312" w:hAnsi="黑体" w:eastAsia="仿宋_GB2312"/>
          <w:sz w:val="32"/>
          <w:szCs w:val="32"/>
          <w:lang w:eastAsia="zh-CN"/>
        </w:rPr>
        <w:t>。</w:t>
      </w:r>
      <w:r>
        <w:rPr>
          <w:rFonts w:hint="eastAsia" w:ascii="仿宋_GB2312" w:hAnsi="黑体" w:eastAsia="仿宋_GB2312"/>
          <w:sz w:val="32"/>
          <w:szCs w:val="32"/>
        </w:rPr>
        <w:t>做实做细“项目管家”相关工作，下狠功夫，在改进服务方式上探索创新，继续优化我区营商环境。</w:t>
      </w: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center"/>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兴隆台区</w:t>
      </w:r>
      <w:r>
        <w:rPr>
          <w:rFonts w:hint="eastAsia" w:ascii="仿宋_GB2312" w:hAnsi="黑体" w:eastAsia="仿宋_GB2312" w:cs="Times New Roman"/>
          <w:sz w:val="32"/>
          <w:szCs w:val="32"/>
          <w:lang w:eastAsia="zh-CN"/>
        </w:rPr>
        <w:t>数据</w:t>
      </w:r>
      <w:r>
        <w:rPr>
          <w:rFonts w:hint="eastAsia" w:ascii="仿宋_GB2312" w:hAnsi="黑体" w:eastAsia="仿宋_GB2312" w:cs="Times New Roman"/>
          <w:sz w:val="32"/>
          <w:szCs w:val="32"/>
        </w:rPr>
        <w:t>局</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jc w:val="center"/>
        <w:textAlignment w:val="auto"/>
        <w:rPr>
          <w:rFonts w:hint="default"/>
          <w:lang w:val="en-US"/>
        </w:rPr>
      </w:pPr>
      <w:r>
        <w:rPr>
          <w:rFonts w:hint="eastAsia" w:ascii="仿宋_GB2312" w:hAnsi="黑体" w:eastAsia="仿宋_GB2312" w:cs="Times New Roman"/>
          <w:sz w:val="32"/>
          <w:szCs w:val="32"/>
          <w:lang w:val="en-US" w:eastAsia="zh-CN"/>
        </w:rPr>
        <w:t xml:space="preserve">                                </w:t>
      </w:r>
      <w:bookmarkStart w:id="0" w:name="_GoBack"/>
      <w:bookmarkEnd w:id="0"/>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年</w:t>
      </w: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月1</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TE3MDA1ZDE3N2YzY2FmNzliYTZmYWM2ZjE5ZmEifQ=="/>
  </w:docVars>
  <w:rsids>
    <w:rsidRoot w:val="695C0C61"/>
    <w:rsid w:val="0068797A"/>
    <w:rsid w:val="009145F5"/>
    <w:rsid w:val="00AF7D34"/>
    <w:rsid w:val="00BF50B0"/>
    <w:rsid w:val="00CA1374"/>
    <w:rsid w:val="00D738E0"/>
    <w:rsid w:val="0C21398A"/>
    <w:rsid w:val="10E42958"/>
    <w:rsid w:val="10F464E2"/>
    <w:rsid w:val="147A2B30"/>
    <w:rsid w:val="343E7EC6"/>
    <w:rsid w:val="34D550C1"/>
    <w:rsid w:val="35FA5E74"/>
    <w:rsid w:val="384415F4"/>
    <w:rsid w:val="3BAA664E"/>
    <w:rsid w:val="3C805EE5"/>
    <w:rsid w:val="3DB54430"/>
    <w:rsid w:val="3F3D1DD6"/>
    <w:rsid w:val="424F5870"/>
    <w:rsid w:val="5D3E18E3"/>
    <w:rsid w:val="5E3B6BF8"/>
    <w:rsid w:val="62FD4D57"/>
    <w:rsid w:val="657D7467"/>
    <w:rsid w:val="695C0C61"/>
    <w:rsid w:val="74F55F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99"/>
    <w:pPr>
      <w:ind w:firstLine="420"/>
    </w:pPr>
    <w:rPr>
      <w:szCs w:val="24"/>
    </w:rPr>
  </w:style>
  <w:style w:type="paragraph" w:styleId="4">
    <w:name w:val="Body Text"/>
    <w:basedOn w:val="1"/>
    <w:qFormat/>
    <w:uiPriority w:val="0"/>
    <w:pPr>
      <w:spacing w:after="120"/>
    </w:pPr>
  </w:style>
  <w:style w:type="paragraph" w:styleId="5">
    <w:name w:val="Body Text Indent"/>
    <w:basedOn w:val="1"/>
    <w:next w:val="6"/>
    <w:qFormat/>
    <w:uiPriority w:val="0"/>
    <w:pPr>
      <w:spacing w:after="120"/>
      <w:ind w:left="420" w:leftChars="200"/>
    </w:pPr>
  </w:style>
  <w:style w:type="paragraph" w:styleId="6">
    <w:name w:val="header"/>
    <w:basedOn w:val="1"/>
    <w:next w:val="7"/>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3"/>
    <w:qFormat/>
    <w:uiPriority w:val="99"/>
    <w:pPr>
      <w:snapToGrid w:val="0"/>
      <w:spacing w:line="360" w:lineRule="auto"/>
      <w:jc w:val="left"/>
    </w:pPr>
  </w:style>
  <w:style w:type="paragraph" w:styleId="8">
    <w:name w:val="Block Text"/>
    <w:basedOn w:val="1"/>
    <w:qFormat/>
    <w:uiPriority w:val="99"/>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beforeAutospacing="0" w:after="60" w:afterAutospacing="0"/>
      <w:jc w:val="center"/>
      <w:outlineLvl w:val="0"/>
    </w:pPr>
    <w:rPr>
      <w:rFonts w:ascii="Arial" w:hAnsi="Arial" w:eastAsia="宋体" w:cs="Times New Roman"/>
      <w:b/>
      <w:sz w:val="44"/>
    </w:rPr>
  </w:style>
  <w:style w:type="character" w:customStyle="1" w:styleId="14">
    <w:name w:val="页眉 Char"/>
    <w:basedOn w:val="13"/>
    <w:link w:val="6"/>
    <w:qFormat/>
    <w:uiPriority w:val="0"/>
    <w:rPr>
      <w:kern w:val="2"/>
      <w:sz w:val="18"/>
      <w:szCs w:val="18"/>
    </w:rPr>
  </w:style>
  <w:style w:type="character" w:customStyle="1" w:styleId="15">
    <w:name w:val="页脚 Char"/>
    <w:basedOn w:val="13"/>
    <w:link w:val="9"/>
    <w:qFormat/>
    <w:uiPriority w:val="0"/>
    <w:rPr>
      <w:kern w:val="2"/>
      <w:sz w:val="18"/>
      <w:szCs w:val="18"/>
    </w:rPr>
  </w:style>
  <w:style w:type="paragraph" w:customStyle="1" w:styleId="16">
    <w:name w:val="0正文"/>
    <w:basedOn w:val="5"/>
    <w:qFormat/>
    <w:uiPriority w:val="0"/>
    <w:pPr>
      <w:spacing w:line="360" w:lineRule="auto"/>
      <w:ind w:firstLine="720" w:firstLineChars="20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1414</Words>
  <Characters>1445</Characters>
  <Lines>9</Lines>
  <Paragraphs>2</Paragraphs>
  <TotalTime>3</TotalTime>
  <ScaleCrop>false</ScaleCrop>
  <LinksUpToDate>false</LinksUpToDate>
  <CharactersWithSpaces>1479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2022-06-13T06:59:00Z</dcterms:created>
  <dc:creator>阿秋变小田</dc:creator>
  <cp:lastModifiedBy>小铁块儿</cp:lastModifiedBy>
  <dcterms:modified xsi:type="dcterms:W3CDTF">2024-06-28T02:57:08Z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B102B367CADC4640937B37F2037E285C_13</vt:lpwstr>
  </property>
</Properties>
</file>