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2024年盘锦市大中河流防洪风险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隐患排查询价采购公告</w:t>
      </w:r>
    </w:p>
    <w:p>
      <w:pPr>
        <w:adjustRightInd w:val="0"/>
        <w:snapToGrid w:val="0"/>
        <w:spacing w:line="322" w:lineRule="auto"/>
        <w:ind w:firstLine="640" w:firstLineChars="200"/>
        <w:rPr>
          <w:rFonts w:hint="eastAsia" w:eastAsia="宋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为全面掌握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盘锦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市大中河流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防洪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存在的薄弱环节和安全隐患，对堤防、水工构筑物、穿堤管线、险工险段等设施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进行风险隐患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排查，为防汛决策提供科学依据。现通过询价采购方式选定一家供应商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完成大中河流风险隐患排查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服务，现将有关事宜公告如下：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2024年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盘锦市大中河流防洪风险隐患排查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二、采购内容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default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对2023年468个防洪风险隐患问题进行全面复核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销号。包括堤防不达标的完成情况、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堤防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不封闭路口整改情况、穿堤管线整改情况、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穿堤水工构筑物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隐患整改情况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砂堤砂基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治理情况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险工护岸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治理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情况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堤脚串沟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治理情况进行全面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复核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销号。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对202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年防洪风险隐患问题进行全面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排查。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排查辽河、大辽河、绕阳河、大凌河、西沙河等大中河流现状存在的防洪风险隐患点。一是对大中型河流263公里堤防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基本情况及达标状况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进行排查；二是对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堤防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不封闭路口现状情况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进行排查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三是对堤防穿堤管线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位置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穿堤方式、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高程、是否在设计水位以下等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；四是对118座穿堤水工构筑物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隐患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穿堤建筑物现状、位置、闸门是否存在渗漏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；五是对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砂堤砂基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情况进行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；六是对61处险工护岸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现状运行情况及治理计划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七是对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堤脚串沟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八是对历史险情现状情况进行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九是对高速与堤防交叉处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三、采购资金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2024年盘锦市应急度汛资金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16.7万元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1.在中华人民共和国境内注册的具有独立承担民事责任能力的法人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6.法律、行政法规规定的其他条件，通过有关部门组织的评审。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五、提交材料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1.营业执照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或法人证书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2.供应商法定代表人身份证明和法定代表人授权代表委托书。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3.诚信声明（按响应文件格式制作）。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4.供应商资格要求的基本资格条件相关证明材料。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5.供应商响应文件（响应文件须用信封密封）。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六、采购须知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1.响应文件必须按询价采购公告规定的时间及地点送达，逾期不予受理其响应文件。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2.响应文件的报价为一次性报价，且供应商只能提供一个报价，价格一经报出，即不再变动。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3.响应文件的报价超过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万元，报价无效。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4.响应文件递交截止时间为北京时间2024年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六、成交通知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1.递交文件截止日期结束后三日内，我中心将向最低报价供应商发出《成交通知书》。《成交通知书》一经发出即发生法律效力。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2.《成交通知书》将作为签订合同的依据。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七、签订合同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1.采购人与成交供应商应当在成交通知书发出之日起10日内签订采购合同。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2.询价采购公告、成交供应商的响应文件及有效承诺文件等，均为签订合同的依据。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3.如成交供应商放弃成交项目或在签订合同时擅自改变成交状态的，采购人将按照相关法律法规处理。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4.除不可抗力等因素外，成交通知书发出后，采购人改变成交结果，或者成交供应商拒绝签订政府采购合同的，应当承担相应的法律责任。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八、联系方式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联系人：蔡军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 xml:space="preserve">联系电话：15642704802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default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附件：2023年防洪风险隐患台账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ind w:left="3840" w:leftChars="120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盘锦市水利局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2" w:lineRule="auto"/>
        <w:ind w:left="3840" w:leftChars="120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2024年5月23日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D08D2"/>
    <w:multiLevelType w:val="multilevel"/>
    <w:tmpl w:val="379D08D2"/>
    <w:lvl w:ilvl="0" w:tentative="0">
      <w:start w:val="1"/>
      <w:numFmt w:val="decimal"/>
      <w:pStyle w:val="3"/>
      <w:lvlText w:val="%1."/>
      <w:lvlJc w:val="left"/>
      <w:pPr>
        <w:ind w:left="426" w:leftChars="0" w:hanging="426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2C1A83E"/>
    <w:multiLevelType w:val="multilevel"/>
    <w:tmpl w:val="62C1A83E"/>
    <w:lvl w:ilvl="0" w:tentative="0">
      <w:start w:val="2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mY3ZDIwY2YzYTEyMDVhMjU0NTRhYzMwZWYxOTIifQ=="/>
  </w:docVars>
  <w:rsids>
    <w:rsidRoot w:val="1BB9663C"/>
    <w:rsid w:val="00F434D3"/>
    <w:rsid w:val="02050C11"/>
    <w:rsid w:val="05044523"/>
    <w:rsid w:val="0A7C361D"/>
    <w:rsid w:val="0D61051C"/>
    <w:rsid w:val="10943C53"/>
    <w:rsid w:val="113A4C18"/>
    <w:rsid w:val="115D4462"/>
    <w:rsid w:val="18AE6BE1"/>
    <w:rsid w:val="1BB9663C"/>
    <w:rsid w:val="227E0A8A"/>
    <w:rsid w:val="25E742D8"/>
    <w:rsid w:val="268718F8"/>
    <w:rsid w:val="2A5D1F97"/>
    <w:rsid w:val="315C608D"/>
    <w:rsid w:val="32F04CDF"/>
    <w:rsid w:val="34FC7D3F"/>
    <w:rsid w:val="361138EA"/>
    <w:rsid w:val="36121410"/>
    <w:rsid w:val="374A2DC5"/>
    <w:rsid w:val="3E9C488D"/>
    <w:rsid w:val="430622FC"/>
    <w:rsid w:val="437B4D47"/>
    <w:rsid w:val="4385052F"/>
    <w:rsid w:val="445E3DC0"/>
    <w:rsid w:val="4495693D"/>
    <w:rsid w:val="4BF15385"/>
    <w:rsid w:val="517F5754"/>
    <w:rsid w:val="51EF7C55"/>
    <w:rsid w:val="5D117931"/>
    <w:rsid w:val="61C57451"/>
    <w:rsid w:val="67DA580F"/>
    <w:rsid w:val="69E925F6"/>
    <w:rsid w:val="6C7C3C0B"/>
    <w:rsid w:val="6E16136A"/>
    <w:rsid w:val="70243B46"/>
    <w:rsid w:val="755C1428"/>
    <w:rsid w:val="76F23A4E"/>
    <w:rsid w:val="78C57BB3"/>
    <w:rsid w:val="7E6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eastAsia="宋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00" w:beforeLines="0" w:beforeAutospacing="0" w:after="200" w:afterLines="0" w:afterAutospacing="0" w:line="240" w:lineRule="auto"/>
      <w:ind w:left="-6" w:firstLine="0"/>
      <w:outlineLvl w:val="0"/>
    </w:pPr>
    <w:rPr>
      <w:b/>
      <w:kern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2"/>
      </w:numPr>
      <w:spacing w:before="300" w:beforeLines="0" w:beforeAutospacing="0" w:after="300" w:afterLines="0" w:afterAutospacing="0" w:line="413" w:lineRule="auto"/>
      <w:ind w:left="425" w:hanging="425"/>
      <w:outlineLvl w:val="1"/>
    </w:pPr>
    <w:rPr>
      <w:rFonts w:ascii="Arial" w:hAnsi="Arial" w:eastAsia="宋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after="1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1361</Characters>
  <Lines>0</Lines>
  <Paragraphs>0</Paragraphs>
  <TotalTime>3</TotalTime>
  <ScaleCrop>false</ScaleCrop>
  <LinksUpToDate>false</LinksUpToDate>
  <CharactersWithSpaces>1363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2024-05-20T23:15:00Z</dcterms:created>
  <dc:creator>快乐</dc:creator>
  <cp:lastModifiedBy>我是蔡小欠</cp:lastModifiedBy>
  <dcterms:modified xsi:type="dcterms:W3CDTF">2024-05-23T08:38:24Z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FD477C3439244589B885AD2A3E18054D_13</vt:lpwstr>
  </property>
</Properties>
</file>