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2024年盘锦市第四系地下水咸水体运移监测报告询价采购公告</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为切实采取有效措施，保护地下水源，严格控制和预防地下水污染，保护</w:t>
      </w:r>
      <w:r>
        <w:rPr>
          <w:rFonts w:hint="eastAsia" w:ascii="仿宋_GB2312" w:hAnsi="仿宋_GB2312" w:eastAsia="仿宋_GB2312" w:cs="仿宋_GB2312"/>
          <w:sz w:val="34"/>
          <w:szCs w:val="34"/>
          <w:highlight w:val="none"/>
        </w:rPr>
        <w:t>盘锦</w:t>
      </w:r>
      <w:r>
        <w:rPr>
          <w:rFonts w:hint="eastAsia" w:ascii="仿宋_GB2312" w:hAnsi="仿宋_GB2312" w:eastAsia="仿宋_GB2312" w:cs="仿宋_GB2312"/>
          <w:sz w:val="34"/>
          <w:szCs w:val="34"/>
        </w:rPr>
        <w:t>第四系地下水工作需要，现通过询价采购方式选定一家供应商负责提供2024年盘锦市第四系地下水咸水体运移监测报告项目服务。现将有关事宜公告如下：</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一、项目名称</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2024年盘锦市第四系地下水咸水体运移监测报告。</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二、采购内容</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开展2024年盘锦市第四系地下水咸水体运移监测工作。每季度对高升、石山地区观测井进行一次水位、水质监测，并于2024年12月提交《2024年盘锦市第四系地下水咸水体运移监测报告》。</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三、采购资金</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2024年盘锦市第四系地下水咸水体运移监测报告项目预算资金10万元。</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四、相关要求</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1.在中华人民共和国境内注册的具有独立承担民事责任能力的法人并取得合法企业工商营业执照；</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2.具有水文、水资源监测方面的营业资格；</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7.法律、行政法规规定的其他条件，通过有关部门组织的评审。</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五、提交材料</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1.营业执照复印件加盖公章。</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3.诚信声明（按响应文件格式制作）。</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4.供应商资格要求的基本资格条件相关证明材料。</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5.供应商响应文件（响应文件须用信封密封）。</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六、采购须知</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1.响应文件必须按询价采购公告规定的时间及地点送达，逾期不予受理其响应文件。</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2.响应文件的报价为一次性报价，且供应商只能提供一个报价，价格一经报出，即不再变动。</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3.响应文件的报价超过10万元，报价无效。</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4.响应文件递交截止时间为北京时间2024年</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月22日17:00。</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七、成交通知</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1.递交文件截止日期结束后三日内，我中心将向最低报价供应商发出《成交通知书》。《成交通知书》一经发出即发生法律效力。</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2.《成交通知书》将作为签订合同的依据。</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八、签订合同</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1.采购人与成交供应商应当在成交通知书发出之日起10日内签订采购合同。</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2.询价采购公告、成交供应商的响应文件及有效承诺文件等，均为签订合同的依据。</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3.如成交供应商放弃成交项目或在签订合同时擅自改变成交状态的，采购人将按照相关法律法规处理。</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九、联系方式</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王永胜   电话：18842773242</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bookmarkStart w:id="0" w:name="_GoBack"/>
      <w:bookmarkEnd w:id="0"/>
      <w:r>
        <w:rPr>
          <w:rFonts w:hint="eastAsia" w:ascii="仿宋_GB2312" w:hAnsi="仿宋_GB2312" w:eastAsia="仿宋_GB2312" w:cs="仿宋_GB2312"/>
          <w:sz w:val="34"/>
          <w:szCs w:val="34"/>
        </w:rPr>
        <w:t>附件：响应文件（请点击下载响应文件）</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 xml:space="preserve">          盘锦市水利事务服务中心</w:t>
      </w:r>
    </w:p>
    <w:p>
      <w:pPr>
        <w:keepNext w:val="0"/>
        <w:keepLines w:val="0"/>
        <w:pageBreakBefore w:val="0"/>
        <w:widowControl w:val="0"/>
        <w:kinsoku/>
        <w:wordWrap/>
        <w:overflowPunct/>
        <w:topLinePunct w:val="0"/>
        <w:autoSpaceDE/>
        <w:autoSpaceDN/>
        <w:bidi w:val="0"/>
        <w:adjustRightInd/>
        <w:snapToGrid w:val="0"/>
        <w:spacing w:line="322" w:lineRule="auto"/>
        <w:ind w:right="2123" w:rightChars="1011" w:firstLine="680" w:firstLineChars="200"/>
        <w:jc w:val="righ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2024年</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月15日</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 xml:space="preserve"> </w:t>
      </w:r>
    </w:p>
    <w:sectPr>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YThlMzAwMjM5NzAxYzE3NjkxZThhY2Y0NjY4NzkifQ=="/>
  </w:docVars>
  <w:rsids>
    <w:rsidRoot w:val="00000000"/>
    <w:rsid w:val="06955985"/>
    <w:rsid w:val="09BD33F1"/>
    <w:rsid w:val="23765AB1"/>
    <w:rsid w:val="2F420339"/>
    <w:rsid w:val="459E4D4E"/>
    <w:rsid w:val="4E32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2024-04-15T07:12:00Z</dcterms:created>
  <dc:creator>Administrator</dc:creator>
  <cp:lastModifiedBy>茈诺</cp:lastModifiedBy>
  <dcterms:modified xsi:type="dcterms:W3CDTF">2024-05-15T06:49:55Z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50870209D84F4D199B6448FFA5B22F34_12</vt:lpwstr>
  </property>
</Properties>
</file>