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宋体" w:hAnsi="宋体" w:eastAsia="宋体" w:cs="宋体"/>
          <w:b/>
          <w:bCs/>
          <w:color w:val="FF0000"/>
          <w:spacing w:val="-17"/>
          <w:kern w:val="0"/>
          <w:sz w:val="40"/>
          <w:szCs w:val="40"/>
          <w:shd w:val="clear" w:color="auto" w:fill="FFFFFF"/>
          <w:lang w:val="en-US" w:eastAsia="zh-CN"/>
        </w:rPr>
      </w:pPr>
      <w:r>
        <w:rPr>
          <w:rFonts w:hint="eastAsia" w:ascii="宋体" w:hAnsi="宋体" w:eastAsia="宋体" w:cs="宋体"/>
          <w:b/>
          <w:bCs/>
          <w:color w:val="FF0000"/>
          <w:spacing w:val="-17"/>
          <w:kern w:val="0"/>
          <w:sz w:val="40"/>
          <w:szCs w:val="40"/>
          <w:shd w:val="clear" w:color="auto" w:fill="FFFFFF"/>
          <w:lang w:val="en-US" w:eastAsia="zh-CN"/>
        </w:rPr>
        <w:t>关于</w:t>
      </w:r>
      <w:r>
        <w:rPr>
          <w:rFonts w:hint="eastAsia" w:ascii="宋体" w:hAnsi="宋体" w:eastAsia="宋体" w:cs="宋体"/>
          <w:b/>
          <w:bCs/>
          <w:color w:val="FF0000"/>
          <w:spacing w:val="-17"/>
          <w:kern w:val="0"/>
          <w:sz w:val="40"/>
          <w:szCs w:val="40"/>
          <w:shd w:val="clear" w:color="auto" w:fill="FFFFFF"/>
          <w:lang w:val="en-US" w:eastAsia="zh-CN"/>
        </w:rPr>
        <w:t>辽宁佳合晟世医药科技股份有限公司20t/a阻燃剂和15t/a医药中间体项目环境影响报告书</w:t>
      </w:r>
      <w:r>
        <w:rPr>
          <w:rFonts w:hint="eastAsia" w:ascii="宋体" w:hAnsi="宋体" w:eastAsia="宋体" w:cs="宋体"/>
          <w:b/>
          <w:bCs/>
          <w:color w:val="FF0000"/>
          <w:spacing w:val="-17"/>
          <w:kern w:val="0"/>
          <w:sz w:val="40"/>
          <w:szCs w:val="40"/>
          <w:shd w:val="clear" w:color="auto" w:fill="FFFFFF"/>
          <w:lang w:val="en-US" w:eastAsia="zh-CN"/>
        </w:rPr>
        <w:t>的批复</w:t>
      </w:r>
    </w:p>
    <w:p>
      <w:pPr>
        <w:pStyle w:val="16"/>
        <w:rPr>
          <w:rFonts w:ascii="楷体_GB2312" w:eastAsia="楷体_GB2312"/>
          <w:b w:val="0"/>
        </w:rPr>
      </w:pPr>
      <w:r>
        <w:rPr>
          <w:rFonts w:hint="eastAsia" w:ascii="仿宋_GB2312" w:eastAsia="仿宋_GB2312"/>
          <w:b w:val="0"/>
        </w:rPr>
        <w:t>盘环审〔202</w:t>
      </w:r>
      <w:r>
        <w:rPr>
          <w:rFonts w:hint="eastAsia" w:ascii="仿宋_GB2312" w:eastAsia="仿宋_GB2312"/>
          <w:b w:val="0"/>
          <w:lang w:val="en-US" w:eastAsia="zh-CN"/>
        </w:rPr>
        <w:t>4</w:t>
      </w:r>
      <w:r>
        <w:rPr>
          <w:rFonts w:hint="eastAsia" w:ascii="仿宋_GB2312" w:eastAsia="仿宋_GB2312"/>
          <w:b w:val="0"/>
        </w:rPr>
        <w:t>〕</w:t>
      </w:r>
      <w:r>
        <w:rPr>
          <w:rFonts w:hint="eastAsia" w:ascii="仿宋_GB2312" w:eastAsia="仿宋_GB2312"/>
          <w:b w:val="0"/>
          <w:lang w:val="en-US" w:eastAsia="zh-CN"/>
        </w:rPr>
        <w:t>7</w:t>
      </w:r>
      <w:r>
        <w:rPr>
          <w:rFonts w:hint="eastAsia" w:ascii="仿宋_GB2312" w:eastAsia="仿宋_GB2312"/>
          <w:b w:val="0"/>
        </w:rPr>
        <w:t>号</w:t>
      </w:r>
    </w:p>
    <w:p>
      <w:pPr>
        <w:pStyle w:val="12"/>
        <w:rPr>
          <w:rFonts w:hint="eastAsia"/>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46990</wp:posOffset>
                </wp:positionV>
                <wp:extent cx="5659755" cy="7620"/>
                <wp:effectExtent l="0" t="0" r="0" b="0"/>
                <wp:wrapNone/>
                <wp:docPr id="1" name="直线 2"/>
                <wp:cNvGraphicFramePr/>
                <a:graphic xmlns:a="http://schemas.openxmlformats.org/drawingml/2006/main">
                  <a:graphicData uri="http://schemas.microsoft.com/office/word/2010/wordprocessingShape">
                    <wps:wsp>
                      <wps:cNvCnPr/>
                      <wps:spPr>
                        <a:xfrm>
                          <a:off x="962025" y="3455670"/>
                          <a:ext cx="5659755" cy="762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8pt;margin-top:3.7pt;height:0.6pt;width:445.65pt;z-index:251659264;mso-width-relative:page;mso-height-relative:page;" filled="f" stroked="t" coordsize="21600,21600" o:gfxdata="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eKJM9YAAAAGAQAADwAAAAAAAAABACAAAAAiAAAAZHJzL2Rvd25yZXYueG1sUEsB&#10;AhQAFAAAAAgAh07iQAtd01H3AQAA6gMAAA4AAAAAAAAAAQAgAAAAJQEAAGRycy9lMm9Eb2MueG1s&#10;UEsFBgAAAAAGAAYAWQEAAI4FAAAAAA==&#10;">
                <v:fill on="f" focussize="0,0"/>
                <v:stroke weight="1.5pt" color="#FF0000" joinstyle="round"/>
                <v:imagedata o:title=""/>
                <o:lock v:ext="edit" aspectratio="f"/>
              </v:line>
            </w:pict>
          </mc:Fallback>
        </mc:AlternateContent>
      </w:r>
    </w:p>
    <w:p>
      <w:pPr>
        <w:rPr>
          <w:rFonts w:hint="eastAsia" w:ascii="Times New Roman" w:hAnsi="Times New Roman" w:eastAsia="仿宋" w:cs="Times New Roman"/>
          <w:sz w:val="32"/>
          <w:szCs w:val="32"/>
          <w:lang w:val="zh-CN"/>
        </w:rPr>
      </w:pPr>
      <w:r>
        <w:rPr>
          <w:rFonts w:hint="eastAsia" w:ascii="Times New Roman" w:hAnsi="Times New Roman" w:eastAsia="仿宋" w:cs="Times New Roman"/>
          <w:sz w:val="32"/>
          <w:szCs w:val="32"/>
        </w:rPr>
        <w:t>辽宁佳合晟世医药科技股份有限公司</w:t>
      </w:r>
      <w:r>
        <w:rPr>
          <w:rFonts w:hint="eastAsia" w:ascii="Times New Roman" w:hAnsi="Times New Roman" w:eastAsia="仿宋" w:cs="Times New Roman"/>
          <w:sz w:val="32"/>
          <w:szCs w:val="32"/>
          <w:lang w:val="zh-CN"/>
        </w:rPr>
        <w:t>：</w:t>
      </w:r>
    </w:p>
    <w:p>
      <w:pPr>
        <w:ind w:firstLine="640" w:firstLineChars="200"/>
        <w:rPr>
          <w:rFonts w:eastAsia="仿宋"/>
          <w:sz w:val="32"/>
          <w:szCs w:val="32"/>
        </w:rPr>
      </w:pPr>
      <w:r>
        <w:rPr>
          <w:rFonts w:hint="eastAsia" w:eastAsia="仿宋"/>
          <w:sz w:val="32"/>
          <w:szCs w:val="32"/>
        </w:rPr>
        <w:t>你公司报送的</w:t>
      </w:r>
      <w:r>
        <w:rPr>
          <w:rFonts w:hint="eastAsia" w:ascii="Times New Roman" w:hAnsi="Times New Roman" w:eastAsia="仿宋" w:cs="Times New Roman"/>
          <w:sz w:val="32"/>
          <w:szCs w:val="32"/>
        </w:rPr>
        <w:t>《辽宁佳合晟世医药科技股份有限公司20t/a阻燃剂和15t/a医药中间体项目环</w:t>
      </w:r>
      <w:r>
        <w:rPr>
          <w:rFonts w:hint="eastAsia" w:eastAsia="仿宋"/>
          <w:sz w:val="32"/>
          <w:szCs w:val="32"/>
        </w:rPr>
        <w:t>境影响报告书》（以下简称“报告书”）收悉，经评估审核和局务会研究通过，现批复如下：</w:t>
      </w:r>
    </w:p>
    <w:p>
      <w:pPr>
        <w:ind w:firstLine="640" w:firstLineChars="200"/>
        <w:rPr>
          <w:rFonts w:hint="eastAsia" w:eastAsia="仿宋"/>
          <w:sz w:val="32"/>
          <w:szCs w:val="32"/>
        </w:rPr>
      </w:pPr>
      <w:r>
        <w:rPr>
          <w:rFonts w:hint="eastAsia" w:ascii="Times New Roman" w:hAnsi="Times New Roman" w:eastAsia="仿宋" w:cs="Times New Roman"/>
          <w:sz w:val="32"/>
          <w:szCs w:val="32"/>
        </w:rPr>
        <w:t>一、辽宁佳合晟世医药科技股份有限公司位于辽宁盘锦精细化工园区孵化基地B9厂房，公司拟投资50万元</w:t>
      </w:r>
      <w:r>
        <w:rPr>
          <w:rFonts w:hint="eastAsia" w:ascii="Times New Roman" w:hAnsi="Times New Roman" w:eastAsia="仿宋" w:cs="Times New Roman"/>
          <w:sz w:val="32"/>
          <w:szCs w:val="32"/>
          <w:lang w:val="en-US" w:eastAsia="zh-CN"/>
        </w:rPr>
        <w:t>在</w:t>
      </w:r>
      <w:r>
        <w:rPr>
          <w:rFonts w:hint="eastAsia" w:ascii="Times New Roman" w:hAnsi="Times New Roman" w:eastAsia="仿宋" w:cs="Times New Roman"/>
          <w:sz w:val="32"/>
          <w:szCs w:val="32"/>
        </w:rPr>
        <w:t>现有厂房</w:t>
      </w:r>
      <w:r>
        <w:rPr>
          <w:rFonts w:hint="eastAsia" w:ascii="Times New Roman" w:hAnsi="Times New Roman" w:eastAsia="仿宋" w:cs="Times New Roman"/>
          <w:sz w:val="32"/>
          <w:szCs w:val="32"/>
          <w:lang w:val="en-US" w:eastAsia="zh-CN"/>
        </w:rPr>
        <w:t>内</w:t>
      </w:r>
      <w:r>
        <w:rPr>
          <w:rFonts w:hint="eastAsia" w:ascii="Times New Roman" w:hAnsi="Times New Roman" w:eastAsia="仿宋" w:cs="Times New Roman"/>
          <w:sz w:val="32"/>
          <w:szCs w:val="32"/>
        </w:rPr>
        <w:t>建设20t/a阻燃剂和15t/a医药中间体项目，产品方案为：20</w:t>
      </w:r>
      <w:r>
        <w:rPr>
          <w:rFonts w:hint="eastAsia" w:ascii="Times New Roman" w:hAnsi="Times New Roman" w:eastAsia="仿宋" w:cs="Times New Roman"/>
          <w:sz w:val="32"/>
          <w:szCs w:val="32"/>
          <w:lang w:val="en-US" w:eastAsia="zh-CN"/>
        </w:rPr>
        <w:t>吨</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年</w:t>
      </w:r>
      <w:r>
        <w:rPr>
          <w:rFonts w:hint="eastAsia" w:ascii="Times New Roman" w:hAnsi="Times New Roman" w:eastAsia="仿宋" w:cs="Times New Roman"/>
          <w:sz w:val="32"/>
          <w:szCs w:val="32"/>
        </w:rPr>
        <w:t>BDP、5</w:t>
      </w:r>
      <w:r>
        <w:rPr>
          <w:rFonts w:hint="eastAsia" w:ascii="Times New Roman" w:hAnsi="Times New Roman" w:eastAsia="仿宋" w:cs="Times New Roman"/>
          <w:sz w:val="32"/>
          <w:szCs w:val="32"/>
          <w:lang w:val="en-US" w:eastAsia="zh-CN"/>
        </w:rPr>
        <w:t>吨</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年</w:t>
      </w:r>
      <w:r>
        <w:rPr>
          <w:rFonts w:hint="eastAsia" w:ascii="Times New Roman" w:hAnsi="Times New Roman" w:eastAsia="仿宋" w:cs="Times New Roman"/>
          <w:sz w:val="32"/>
          <w:szCs w:val="32"/>
        </w:rPr>
        <w:t>甲氨蝶呤、5</w:t>
      </w:r>
      <w:r>
        <w:rPr>
          <w:rFonts w:hint="eastAsia" w:ascii="Times New Roman" w:hAnsi="Times New Roman" w:eastAsia="仿宋" w:cs="Times New Roman"/>
          <w:sz w:val="32"/>
          <w:szCs w:val="32"/>
          <w:lang w:val="en-US" w:eastAsia="zh-CN"/>
        </w:rPr>
        <w:t>吨</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年</w:t>
      </w:r>
      <w:r>
        <w:rPr>
          <w:rFonts w:hint="eastAsia" w:ascii="Times New Roman" w:hAnsi="Times New Roman" w:eastAsia="仿宋" w:cs="Times New Roman"/>
          <w:sz w:val="32"/>
          <w:szCs w:val="32"/>
        </w:rPr>
        <w:t>二甲基嘧啶、5</w:t>
      </w:r>
      <w:r>
        <w:rPr>
          <w:rFonts w:hint="eastAsia" w:ascii="Times New Roman" w:hAnsi="Times New Roman" w:eastAsia="仿宋" w:cs="Times New Roman"/>
          <w:sz w:val="32"/>
          <w:szCs w:val="32"/>
          <w:lang w:val="en-US" w:eastAsia="zh-CN"/>
        </w:rPr>
        <w:t>吨</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 xml:space="preserve">年 </w:t>
      </w:r>
      <w:r>
        <w:rPr>
          <w:rFonts w:hint="eastAsia" w:ascii="Times New Roman" w:hAnsi="Times New Roman" w:eastAsia="仿宋" w:cs="Times New Roman"/>
          <w:sz w:val="32"/>
          <w:szCs w:val="32"/>
        </w:rPr>
        <w:t>4-氯苯硼酸。</w:t>
      </w:r>
    </w:p>
    <w:p>
      <w:pPr>
        <w:ind w:firstLine="640" w:firstLineChars="200"/>
        <w:rPr>
          <w:rFonts w:eastAsia="仿宋"/>
          <w:sz w:val="32"/>
          <w:szCs w:val="32"/>
        </w:rPr>
      </w:pPr>
      <w:r>
        <w:rPr>
          <w:rFonts w:hint="eastAsia" w:ascii="仿宋" w:hAnsi="仿宋" w:eastAsia="仿宋" w:cs="仿宋_GB2312"/>
          <w:sz w:val="32"/>
          <w:szCs w:val="32"/>
        </w:rPr>
        <w:t>盘锦市双台子区发展和改革局</w:t>
      </w:r>
      <w:r>
        <w:rPr>
          <w:rFonts w:hint="eastAsia" w:eastAsia="仿宋"/>
          <w:sz w:val="32"/>
          <w:szCs w:val="32"/>
        </w:rPr>
        <w:t>出具了关于本项目备案证明</w:t>
      </w:r>
      <w:r>
        <w:rPr>
          <w:rFonts w:hint="eastAsia" w:ascii="仿宋" w:hAnsi="仿宋" w:eastAsia="仿宋" w:cs="仿宋_GB2312"/>
          <w:sz w:val="32"/>
          <w:szCs w:val="32"/>
        </w:rPr>
        <w:t>（双区行审备[2022]</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号）</w:t>
      </w:r>
      <w:r>
        <w:rPr>
          <w:rFonts w:hint="eastAsia" w:eastAsia="仿宋"/>
          <w:sz w:val="32"/>
          <w:szCs w:val="32"/>
        </w:rPr>
        <w:t>，项目选址符合盘锦精细化工园区</w:t>
      </w:r>
      <w:r>
        <w:rPr>
          <w:rFonts w:eastAsia="仿宋"/>
          <w:sz w:val="32"/>
          <w:szCs w:val="32"/>
        </w:rPr>
        <w:t>规划，</w:t>
      </w:r>
      <w:r>
        <w:rPr>
          <w:rFonts w:hint="eastAsia" w:eastAsia="仿宋"/>
          <w:sz w:val="32"/>
          <w:szCs w:val="32"/>
        </w:rPr>
        <w:t>在全面落实“报告书”提出的各项污染防治及风险防范措施后，</w:t>
      </w:r>
      <w:r>
        <w:rPr>
          <w:rFonts w:hAnsi="仿宋" w:eastAsia="仿宋"/>
          <w:sz w:val="32"/>
          <w:szCs w:val="32"/>
        </w:rPr>
        <w:t>项目产生的不利环境影响可以得到有效缓解和控制</w:t>
      </w:r>
      <w:r>
        <w:rPr>
          <w:rFonts w:hint="eastAsia" w:hAnsi="仿宋" w:eastAsia="仿宋"/>
          <w:sz w:val="32"/>
          <w:szCs w:val="32"/>
        </w:rPr>
        <w:t>。</w:t>
      </w:r>
      <w:r>
        <w:rPr>
          <w:rFonts w:eastAsia="仿宋"/>
          <w:sz w:val="32"/>
          <w:szCs w:val="32"/>
        </w:rPr>
        <w:t>从环保角度分析，我局原则同意你公司“报告书”中所列建设项目的地点、性质、规模、生产工艺和采取的环境保护措施。</w:t>
      </w:r>
    </w:p>
    <w:p>
      <w:pPr>
        <w:ind w:firstLine="640" w:firstLineChars="200"/>
        <w:rPr>
          <w:rFonts w:eastAsia="仿宋"/>
          <w:sz w:val="32"/>
          <w:szCs w:val="32"/>
        </w:rPr>
      </w:pPr>
      <w:r>
        <w:rPr>
          <w:rFonts w:eastAsia="仿宋"/>
          <w:sz w:val="32"/>
          <w:szCs w:val="32"/>
        </w:rPr>
        <w:t>二、项目</w:t>
      </w:r>
      <w:r>
        <w:rPr>
          <w:rFonts w:hint="eastAsia" w:eastAsia="仿宋"/>
          <w:sz w:val="32"/>
          <w:szCs w:val="32"/>
        </w:rPr>
        <w:t>建设</w:t>
      </w:r>
      <w:r>
        <w:rPr>
          <w:rFonts w:eastAsia="仿宋"/>
          <w:sz w:val="32"/>
          <w:szCs w:val="32"/>
        </w:rPr>
        <w:t>与运行管理中应重点做好以下工作：</w:t>
      </w:r>
    </w:p>
    <w:p>
      <w:pPr>
        <w:pStyle w:val="39"/>
        <w:autoSpaceDN w:val="0"/>
        <w:spacing w:line="360" w:lineRule="auto"/>
        <w:ind w:firstLine="640" w:firstLineChars="200"/>
        <w:rPr>
          <w:rFonts w:hint="eastAsia" w:ascii="仿宋" w:hAnsi="仿宋" w:eastAsia="仿宋" w:cs="Times New Roman"/>
          <w:sz w:val="32"/>
          <w:szCs w:val="32"/>
        </w:rPr>
      </w:pPr>
      <w:r>
        <w:rPr>
          <w:rFonts w:hint="default" w:ascii="Times New Roman" w:hAnsi="Times New Roman" w:eastAsia="仿宋" w:cs="Times New Roman"/>
          <w:sz w:val="32"/>
          <w:szCs w:val="32"/>
        </w:rPr>
        <w:t>（一）严格落实大气污染防治措施。反应</w:t>
      </w:r>
      <w:r>
        <w:rPr>
          <w:rFonts w:hint="default" w:ascii="Times New Roman" w:hAnsi="Times New Roman" w:eastAsia="仿宋" w:cs="Times New Roman"/>
          <w:sz w:val="32"/>
          <w:szCs w:val="32"/>
          <w:lang w:val="en-US" w:eastAsia="zh-CN"/>
        </w:rPr>
        <w:t>釜</w:t>
      </w:r>
      <w:r>
        <w:rPr>
          <w:rFonts w:hint="default" w:ascii="Times New Roman" w:hAnsi="Times New Roman" w:eastAsia="仿宋" w:cs="Times New Roman"/>
          <w:sz w:val="32"/>
          <w:szCs w:val="32"/>
        </w:rPr>
        <w:t>、蒸馏</w:t>
      </w:r>
      <w:r>
        <w:rPr>
          <w:rFonts w:hint="default" w:ascii="Times New Roman" w:hAnsi="Times New Roman" w:eastAsia="仿宋" w:cs="Times New Roman"/>
          <w:sz w:val="32"/>
          <w:szCs w:val="32"/>
          <w:lang w:val="en-US" w:eastAsia="zh-CN"/>
        </w:rPr>
        <w:t>釜</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烘干</w:t>
      </w:r>
      <w:r>
        <w:rPr>
          <w:rFonts w:hint="eastAsia" w:eastAsia="仿宋" w:cs="Times New Roman"/>
          <w:sz w:val="32"/>
          <w:szCs w:val="32"/>
          <w:lang w:val="en-US" w:eastAsia="zh-CN"/>
        </w:rPr>
        <w:t>机</w:t>
      </w:r>
      <w:r>
        <w:rPr>
          <w:rFonts w:hint="default" w:ascii="Times New Roman" w:hAnsi="Times New Roman" w:eastAsia="仿宋" w:cs="Times New Roman"/>
          <w:sz w:val="32"/>
          <w:szCs w:val="32"/>
          <w:lang w:val="en-US" w:eastAsia="zh-CN"/>
        </w:rPr>
        <w:t>、废水储罐</w:t>
      </w:r>
      <w:r>
        <w:rPr>
          <w:rFonts w:hint="default" w:ascii="Times New Roman" w:hAnsi="Times New Roman" w:eastAsia="仿宋" w:cs="Times New Roman"/>
          <w:sz w:val="32"/>
          <w:szCs w:val="32"/>
        </w:rPr>
        <w:t>等</w:t>
      </w:r>
      <w:r>
        <w:rPr>
          <w:rFonts w:hint="eastAsia" w:eastAsia="仿宋" w:cs="Times New Roman"/>
          <w:sz w:val="32"/>
          <w:szCs w:val="32"/>
          <w:lang w:val="en-US" w:eastAsia="zh-CN"/>
        </w:rPr>
        <w:t>采用</w:t>
      </w:r>
      <w:r>
        <w:rPr>
          <w:rFonts w:hint="default" w:ascii="Times New Roman" w:hAnsi="Times New Roman" w:eastAsia="仿宋" w:cs="Times New Roman"/>
          <w:sz w:val="32"/>
          <w:szCs w:val="32"/>
        </w:rPr>
        <w:t>密闭设备，废气通过管道进入废气有组织处理系统</w:t>
      </w:r>
      <w:r>
        <w:rPr>
          <w:rFonts w:hint="eastAsia" w:eastAsia="仿宋" w:cs="Times New Roman"/>
          <w:sz w:val="32"/>
          <w:szCs w:val="32"/>
          <w:lang w:eastAsia="zh-CN"/>
        </w:rPr>
        <w:t>。</w:t>
      </w:r>
      <w:r>
        <w:rPr>
          <w:rFonts w:hint="default" w:ascii="Times New Roman" w:hAnsi="Times New Roman" w:eastAsia="仿宋" w:cs="Times New Roman"/>
          <w:sz w:val="32"/>
          <w:szCs w:val="32"/>
          <w:lang w:val="en-US" w:eastAsia="zh-CN"/>
        </w:rPr>
        <w:t>投料</w:t>
      </w:r>
      <w:r>
        <w:rPr>
          <w:rFonts w:hint="eastAsia" w:eastAsia="仿宋" w:cs="Times New Roman"/>
          <w:sz w:val="32"/>
          <w:szCs w:val="32"/>
          <w:lang w:val="en-US" w:eastAsia="zh-CN"/>
        </w:rPr>
        <w:t>工序设置集气罩，</w:t>
      </w:r>
      <w:r>
        <w:rPr>
          <w:rFonts w:hint="default" w:ascii="Times New Roman" w:hAnsi="Times New Roman" w:eastAsia="仿宋" w:cs="Times New Roman"/>
          <w:sz w:val="32"/>
          <w:szCs w:val="32"/>
        </w:rPr>
        <w:t>离心、干燥</w:t>
      </w:r>
      <w:r>
        <w:rPr>
          <w:rFonts w:hint="eastAsia" w:eastAsia="仿宋" w:cs="Times New Roman"/>
          <w:sz w:val="32"/>
          <w:szCs w:val="32"/>
          <w:lang w:eastAsia="zh-CN"/>
        </w:rPr>
        <w:t>、</w:t>
      </w:r>
      <w:r>
        <w:rPr>
          <w:rFonts w:hint="eastAsia" w:eastAsia="仿宋" w:cs="Times New Roman"/>
          <w:sz w:val="32"/>
          <w:szCs w:val="32"/>
          <w:lang w:val="en-US" w:eastAsia="zh-CN"/>
        </w:rPr>
        <w:t>危废暂存</w:t>
      </w:r>
      <w:r>
        <w:rPr>
          <w:rFonts w:hint="default" w:ascii="Times New Roman" w:hAnsi="Times New Roman" w:eastAsia="仿宋" w:cs="Times New Roman"/>
          <w:sz w:val="32"/>
          <w:szCs w:val="32"/>
        </w:rPr>
        <w:t>等工序设置密闭间并设废气收集设施，废气收集后进有组织废气处理系统</w:t>
      </w:r>
      <w:r>
        <w:rPr>
          <w:rFonts w:hint="default" w:ascii="Times New Roman" w:hAnsi="Times New Roman" w:eastAsia="仿宋" w:cs="Times New Roman"/>
          <w:sz w:val="32"/>
          <w:szCs w:val="32"/>
          <w:lang w:eastAsia="zh-CN"/>
        </w:rPr>
        <w:t>。</w:t>
      </w:r>
      <w:r>
        <w:rPr>
          <w:rFonts w:hint="eastAsia" w:eastAsia="仿宋" w:cs="Times New Roman"/>
          <w:sz w:val="32"/>
          <w:szCs w:val="32"/>
          <w:lang w:val="en-US" w:eastAsia="zh-CN"/>
        </w:rPr>
        <w:t>有机</w:t>
      </w:r>
      <w:r>
        <w:rPr>
          <w:rFonts w:hint="default" w:ascii="Times New Roman" w:hAnsi="Times New Roman" w:eastAsia="仿宋" w:cs="Times New Roman"/>
          <w:sz w:val="32"/>
          <w:szCs w:val="32"/>
        </w:rPr>
        <w:t>废气</w:t>
      </w:r>
      <w:r>
        <w:rPr>
          <w:rFonts w:hint="eastAsia" w:ascii="Times New Roman" w:hAnsi="Times New Roman" w:eastAsia="仿宋" w:cs="Times New Roman"/>
          <w:sz w:val="32"/>
          <w:szCs w:val="32"/>
          <w:lang w:val="en-US" w:eastAsia="zh-CN"/>
        </w:rPr>
        <w:t>收集后经</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冷凝</w:t>
      </w:r>
      <w:r>
        <w:rPr>
          <w:rFonts w:hint="default"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rPr>
        <w:t>级碱喷淋+除雾器+二级活性炭”</w:t>
      </w:r>
      <w:r>
        <w:rPr>
          <w:rFonts w:hint="eastAsia" w:eastAsia="仿宋" w:cs="Times New Roman"/>
          <w:sz w:val="32"/>
          <w:szCs w:val="32"/>
          <w:lang w:val="en-US" w:eastAsia="zh-CN"/>
        </w:rPr>
        <w:t>处理</w:t>
      </w:r>
      <w:r>
        <w:rPr>
          <w:rFonts w:hint="default" w:ascii="Times New Roman" w:hAnsi="Times New Roman" w:eastAsia="仿宋" w:cs="Times New Roman"/>
          <w:sz w:val="32"/>
          <w:szCs w:val="32"/>
          <w:lang w:eastAsia="zh-CN"/>
        </w:rPr>
        <w:t>，</w:t>
      </w:r>
      <w:r>
        <w:rPr>
          <w:rFonts w:hint="default" w:ascii="仿宋" w:hAnsi="仿宋" w:eastAsia="仿宋" w:cs="Times New Roman"/>
          <w:sz w:val="32"/>
          <w:szCs w:val="32"/>
          <w:lang w:eastAsia="zh-CN"/>
        </w:rPr>
        <w:t>甲氨蝶呤烘干、包装工序产生的颗粒物</w:t>
      </w:r>
      <w:r>
        <w:rPr>
          <w:rFonts w:hint="eastAsia" w:ascii="仿宋" w:hAnsi="仿宋" w:eastAsia="仿宋" w:cs="Times New Roman"/>
          <w:sz w:val="32"/>
          <w:szCs w:val="32"/>
          <w:lang w:val="en-US" w:eastAsia="zh-CN"/>
        </w:rPr>
        <w:t>收集后采用</w:t>
      </w:r>
      <w:r>
        <w:rPr>
          <w:rFonts w:hint="default" w:ascii="仿宋" w:hAnsi="仿宋" w:eastAsia="仿宋" w:cs="Times New Roman"/>
          <w:sz w:val="32"/>
          <w:szCs w:val="32"/>
          <w:lang w:val="en-US" w:eastAsia="zh-CN"/>
        </w:rPr>
        <w:t>高效空气过滤器</w:t>
      </w:r>
      <w:r>
        <w:rPr>
          <w:rFonts w:hint="eastAsia" w:ascii="仿宋" w:hAnsi="仿宋" w:eastAsia="仿宋" w:cs="Times New Roman"/>
          <w:sz w:val="32"/>
          <w:szCs w:val="32"/>
        </w:rPr>
        <w:t>处理</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以上废气处理后</w:t>
      </w:r>
      <w:r>
        <w:rPr>
          <w:rFonts w:hint="eastAsia" w:ascii="仿宋" w:hAnsi="仿宋" w:eastAsia="仿宋" w:cs="Times New Roman"/>
          <w:sz w:val="32"/>
          <w:szCs w:val="32"/>
        </w:rPr>
        <w:t>经15m排气筒排放</w:t>
      </w:r>
      <w:r>
        <w:rPr>
          <w:rFonts w:hint="eastAsia" w:ascii="仿宋" w:hAnsi="仿宋" w:eastAsia="仿宋" w:cs="Times New Roman"/>
          <w:sz w:val="32"/>
          <w:szCs w:val="32"/>
          <w:lang w:eastAsia="zh-CN"/>
        </w:rPr>
        <w:t>，</w:t>
      </w:r>
      <w:r>
        <w:rPr>
          <w:rFonts w:hint="default" w:ascii="Times New Roman" w:hAnsi="Times New Roman" w:eastAsia="仿宋" w:cs="Times New Roman"/>
          <w:sz w:val="32"/>
          <w:szCs w:val="32"/>
          <w:lang w:val="en-US" w:eastAsia="zh-CN"/>
        </w:rPr>
        <w:t>废气中</w:t>
      </w:r>
      <w:r>
        <w:rPr>
          <w:rFonts w:hint="default" w:ascii="Times New Roman" w:hAnsi="Times New Roman" w:eastAsia="仿宋" w:cs="Times New Roman"/>
          <w:sz w:val="32"/>
          <w:szCs w:val="32"/>
        </w:rPr>
        <w:t>氯化氢、TVOC、非甲烷总烃、甲苯（苯系物）、氨气、颗粒物执行《制药工业大气污染物排放标准》（GB37823-2019）表</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标准</w:t>
      </w:r>
      <w:r>
        <w:rPr>
          <w:rFonts w:hint="eastAsia" w:eastAsia="仿宋" w:cs="Times New Roman"/>
          <w:sz w:val="32"/>
          <w:szCs w:val="32"/>
          <w:lang w:val="en-US" w:eastAsia="zh-CN"/>
        </w:rPr>
        <w:t>限值</w:t>
      </w:r>
      <w:r>
        <w:rPr>
          <w:rFonts w:hint="default" w:ascii="Times New Roman" w:hAnsi="Times New Roman" w:eastAsia="仿宋" w:cs="Times New Roman"/>
          <w:sz w:val="32"/>
          <w:szCs w:val="32"/>
          <w:lang w:eastAsia="zh-CN"/>
        </w:rPr>
        <w:t>，硫化氢、臭气浓度执行</w:t>
      </w:r>
      <w:r>
        <w:rPr>
          <w:rFonts w:hint="default" w:ascii="Times New Roman" w:hAnsi="Times New Roman" w:eastAsia="仿宋" w:cs="Times New Roman"/>
          <w:sz w:val="32"/>
          <w:szCs w:val="32"/>
        </w:rPr>
        <w:t>《恶臭污染物排放标准》（GB14554-93）表</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标准</w:t>
      </w:r>
      <w:r>
        <w:rPr>
          <w:rFonts w:hint="eastAsia" w:eastAsia="仿宋" w:cs="Times New Roman"/>
          <w:sz w:val="32"/>
          <w:szCs w:val="32"/>
          <w:lang w:val="en-US" w:eastAsia="zh-CN"/>
        </w:rPr>
        <w:t>限值</w:t>
      </w:r>
      <w:r>
        <w:rPr>
          <w:rFonts w:hint="eastAsia" w:eastAsia="仿宋" w:cs="Times New Roman"/>
          <w:sz w:val="32"/>
          <w:szCs w:val="32"/>
          <w:lang w:eastAsia="zh-CN"/>
        </w:rPr>
        <w:t>。</w:t>
      </w:r>
      <w:r>
        <w:rPr>
          <w:rFonts w:hint="eastAsia" w:ascii="仿宋" w:hAnsi="仿宋" w:eastAsia="仿宋"/>
          <w:sz w:val="32"/>
          <w:szCs w:val="32"/>
        </w:rPr>
        <w:t>废气排放口安装在线监测设施，并与生态环境主管部门实现联网。</w:t>
      </w:r>
    </w:p>
    <w:p>
      <w:pPr>
        <w:pStyle w:val="39"/>
        <w:autoSpaceDN w:val="0"/>
        <w:spacing w:line="360" w:lineRule="auto"/>
        <w:ind w:firstLine="640" w:firstLineChars="200"/>
        <w:rPr>
          <w:rFonts w:ascii="仿宋" w:hAnsi="仿宋" w:eastAsia="仿宋"/>
          <w:sz w:val="32"/>
          <w:szCs w:val="32"/>
          <w:lang w:val="zh-TW"/>
        </w:rPr>
      </w:pPr>
      <w:r>
        <w:rPr>
          <w:rFonts w:hint="eastAsia" w:eastAsia="仿宋"/>
          <w:sz w:val="32"/>
          <w:szCs w:val="32"/>
        </w:rPr>
        <w:t>加强无组织废气污染物控制措施，VOCs物料储存于密闭的容器中，液态物料采用密闭管道输送方式投加；各工艺操作减少敞开式操作，对设备、管道、阀门经常检查、检修，保持装置气密性良好。</w:t>
      </w:r>
      <w:r>
        <w:rPr>
          <w:rFonts w:eastAsia="仿宋"/>
          <w:sz w:val="32"/>
          <w:szCs w:val="32"/>
        </w:rPr>
        <w:cr/>
      </w:r>
      <w:r>
        <w:rPr>
          <w:rFonts w:hint="eastAsia" w:eastAsia="仿宋"/>
          <w:sz w:val="32"/>
          <w:szCs w:val="32"/>
        </w:rPr>
        <w:t xml:space="preserve">    （二）强化</w:t>
      </w:r>
      <w:r>
        <w:rPr>
          <w:rFonts w:eastAsia="仿宋"/>
          <w:sz w:val="32"/>
          <w:szCs w:val="32"/>
        </w:rPr>
        <w:t>水污染防治</w:t>
      </w:r>
      <w:r>
        <w:rPr>
          <w:rFonts w:hint="eastAsia" w:eastAsia="仿宋"/>
          <w:sz w:val="32"/>
          <w:szCs w:val="32"/>
        </w:rPr>
        <w:t>措施</w:t>
      </w:r>
      <w:r>
        <w:rPr>
          <w:rFonts w:eastAsia="仿宋"/>
          <w:sz w:val="32"/>
          <w:szCs w:val="32"/>
        </w:rPr>
        <w:t>。</w:t>
      </w:r>
      <w:r>
        <w:rPr>
          <w:rFonts w:hint="eastAsia" w:ascii="仿宋" w:hAnsi="仿宋" w:eastAsia="仿宋"/>
          <w:sz w:val="32"/>
          <w:szCs w:val="32"/>
        </w:rPr>
        <w:t>项目产生的废水包括生产废水、设备清洗废水、地面冲洗水、机泵冷却水、废气处理废水，</w:t>
      </w:r>
      <w:r>
        <w:rPr>
          <w:rFonts w:hint="eastAsia" w:eastAsia="仿宋"/>
          <w:sz w:val="32"/>
          <w:szCs w:val="32"/>
        </w:rPr>
        <w:t>采用密闭管道输送至车间外</w:t>
      </w:r>
      <w:r>
        <w:rPr>
          <w:rFonts w:hint="eastAsia" w:ascii="仿宋" w:hAnsi="仿宋" w:eastAsia="仿宋"/>
          <w:sz w:val="32"/>
          <w:szCs w:val="32"/>
        </w:rPr>
        <w:t>污水暂存罐，定期采用罐车拉运至孵化基地污水处理厂处理，污染物排放浓度执行孵化基地污水厂的进水指标。孵化基地污水管网建成后，废水采用管线输送至孵化基地污水处理厂。孵化基地污水处理厂出水进入精细化工园区污水处理厂处理达标后排放。</w:t>
      </w:r>
    </w:p>
    <w:p>
      <w:pPr>
        <w:ind w:firstLine="640" w:firstLineChars="200"/>
        <w:rPr>
          <w:rFonts w:eastAsia="仿宋"/>
          <w:sz w:val="32"/>
          <w:szCs w:val="32"/>
        </w:rPr>
      </w:pPr>
      <w:r>
        <w:rPr>
          <w:rFonts w:hint="eastAsia" w:eastAsia="仿宋"/>
          <w:sz w:val="32"/>
          <w:szCs w:val="32"/>
        </w:rPr>
        <w:t>（三）落实</w:t>
      </w:r>
      <w:r>
        <w:rPr>
          <w:rFonts w:eastAsia="仿宋"/>
          <w:sz w:val="32"/>
          <w:szCs w:val="32"/>
        </w:rPr>
        <w:t>地下水</w:t>
      </w:r>
      <w:r>
        <w:rPr>
          <w:rFonts w:hint="eastAsia" w:eastAsia="仿宋"/>
          <w:sz w:val="32"/>
          <w:szCs w:val="32"/>
        </w:rPr>
        <w:t>和土壤</w:t>
      </w:r>
      <w:r>
        <w:rPr>
          <w:rFonts w:eastAsia="仿宋"/>
          <w:sz w:val="32"/>
          <w:szCs w:val="32"/>
        </w:rPr>
        <w:t>保护措施。按“报告书”确定的地下水</w:t>
      </w:r>
      <w:r>
        <w:rPr>
          <w:rFonts w:hint="eastAsia" w:eastAsia="仿宋"/>
          <w:sz w:val="32"/>
          <w:szCs w:val="32"/>
        </w:rPr>
        <w:t>重点污染防治区、一般污染防治区</w:t>
      </w:r>
      <w:r>
        <w:rPr>
          <w:rFonts w:eastAsia="仿宋"/>
          <w:sz w:val="32"/>
          <w:szCs w:val="32"/>
        </w:rPr>
        <w:t>进行分区防渗处理，</w:t>
      </w:r>
      <w:r>
        <w:rPr>
          <w:rFonts w:hint="eastAsia" w:eastAsia="仿宋"/>
          <w:sz w:val="32"/>
          <w:szCs w:val="32"/>
        </w:rPr>
        <w:t>设置地下水监控井，制定地下水和土壤监测计划，</w:t>
      </w:r>
      <w:r>
        <w:rPr>
          <w:rFonts w:eastAsia="仿宋"/>
          <w:sz w:val="32"/>
          <w:szCs w:val="32"/>
        </w:rPr>
        <w:t>防止污染地下水和土壤。你单位应留存与防渗相关设计、施工等图纸文本、影像</w:t>
      </w:r>
      <w:r>
        <w:rPr>
          <w:rFonts w:hint="eastAsia" w:eastAsia="仿宋"/>
          <w:sz w:val="32"/>
          <w:szCs w:val="32"/>
        </w:rPr>
        <w:t>等</w:t>
      </w:r>
      <w:r>
        <w:rPr>
          <w:rFonts w:eastAsia="仿宋"/>
          <w:sz w:val="32"/>
          <w:szCs w:val="32"/>
        </w:rPr>
        <w:t>资料以备查。</w:t>
      </w:r>
    </w:p>
    <w:p>
      <w:pPr>
        <w:ind w:firstLine="640" w:firstLineChars="200"/>
        <w:rPr>
          <w:rFonts w:eastAsia="仿宋"/>
          <w:sz w:val="32"/>
          <w:szCs w:val="32"/>
        </w:rPr>
      </w:pPr>
      <w:r>
        <w:rPr>
          <w:rFonts w:hint="eastAsia" w:eastAsia="仿宋"/>
          <w:sz w:val="32"/>
          <w:szCs w:val="32"/>
        </w:rPr>
        <w:t>（四）加强噪声污染防治措施。选用低噪声设备并合理布局，对高噪声源采取隔声、减振等措施，确保厂界噪声符合《工业企业厂界环境噪声排放标准》（GB12348-2008）中3类标准要求。</w:t>
      </w:r>
    </w:p>
    <w:p>
      <w:pPr>
        <w:ind w:firstLine="640" w:firstLineChars="200"/>
        <w:rPr>
          <w:rFonts w:hint="eastAsia" w:eastAsia="仿宋"/>
          <w:sz w:val="32"/>
          <w:szCs w:val="32"/>
        </w:rPr>
      </w:pPr>
      <w:r>
        <w:rPr>
          <w:rFonts w:hint="eastAsia" w:eastAsia="仿宋"/>
          <w:sz w:val="32"/>
          <w:szCs w:val="32"/>
        </w:rPr>
        <w:t>（五）加强固体废物污染防治措施。危险废物包括蒸馏残渣、废包装材料、废机</w:t>
      </w:r>
      <w:r>
        <w:rPr>
          <w:rFonts w:hint="eastAsia" w:ascii="Times New Roman" w:hAnsi="Times New Roman" w:eastAsia="仿宋" w:cs="Times New Roman"/>
          <w:sz w:val="32"/>
          <w:szCs w:val="32"/>
        </w:rPr>
        <w:t>油</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废活性炭</w:t>
      </w:r>
      <w:r>
        <w:rPr>
          <w:rFonts w:hint="eastAsia" w:ascii="Times New Roman" w:hAnsi="Times New Roman" w:eastAsia="仿宋" w:cs="Times New Roman"/>
          <w:sz w:val="32"/>
          <w:szCs w:val="32"/>
          <w:lang w:eastAsia="zh-CN"/>
        </w:rPr>
        <w:t>、浮渣底泥</w:t>
      </w:r>
      <w:r>
        <w:rPr>
          <w:rFonts w:hint="eastAsia" w:ascii="Times New Roman" w:hAnsi="Times New Roman" w:eastAsia="仿宋" w:cs="Times New Roman"/>
          <w:sz w:val="32"/>
          <w:szCs w:val="32"/>
          <w:lang w:val="en-US" w:eastAsia="zh-CN"/>
        </w:rPr>
        <w:t>等</w:t>
      </w:r>
      <w:r>
        <w:rPr>
          <w:rFonts w:hint="eastAsia" w:ascii="Times New Roman" w:hAnsi="Times New Roman" w:eastAsia="仿宋" w:cs="Times New Roman"/>
          <w:sz w:val="32"/>
          <w:szCs w:val="32"/>
        </w:rPr>
        <w:t>，</w:t>
      </w:r>
      <w:r>
        <w:rPr>
          <w:rFonts w:hint="eastAsia" w:eastAsia="仿宋"/>
          <w:sz w:val="32"/>
          <w:szCs w:val="32"/>
        </w:rPr>
        <w:t>危险废物分类存放于危废暂存间，定期委托有资质单位集中处理，危废暂存间按照《危险废物贮存污染控制标准》（GB18597-2023）要求建设。</w:t>
      </w:r>
    </w:p>
    <w:p>
      <w:pPr>
        <w:ind w:firstLine="640" w:firstLineChars="200"/>
        <w:rPr>
          <w:rFonts w:hAnsi="仿宋" w:eastAsia="仿宋"/>
          <w:sz w:val="32"/>
          <w:szCs w:val="32"/>
        </w:rPr>
      </w:pPr>
      <w:r>
        <w:rPr>
          <w:rFonts w:hint="eastAsia" w:eastAsia="仿宋"/>
          <w:sz w:val="32"/>
          <w:szCs w:val="32"/>
        </w:rPr>
        <w:t>（六）</w:t>
      </w:r>
      <w:r>
        <w:rPr>
          <w:rFonts w:hint="eastAsia" w:ascii="仿宋_GB2312" w:hAnsi="仿宋_GB2312" w:eastAsia="仿宋_GB2312" w:cs="仿宋_GB2312"/>
          <w:sz w:val="32"/>
          <w:szCs w:val="32"/>
        </w:rPr>
        <w:t>严格落实“报告书”提出的各项环境风险防范措施。</w:t>
      </w:r>
      <w:r>
        <w:rPr>
          <w:rFonts w:hAnsi="仿宋" w:eastAsia="仿宋"/>
          <w:sz w:val="32"/>
          <w:szCs w:val="32"/>
        </w:rPr>
        <w:t>项目采用三级防控措施应对泄漏、火灾、爆炸等事故状态下的消防污水和物料的外泄。</w:t>
      </w:r>
      <w:r>
        <w:rPr>
          <w:rFonts w:hint="eastAsia" w:ascii="仿宋_GB2312" w:hAnsi="仿宋_GB2312" w:eastAsia="仿宋_GB2312" w:cs="仿宋_GB2312"/>
          <w:sz w:val="32"/>
          <w:szCs w:val="32"/>
        </w:rPr>
        <w:t>按照“企业自救、属地自主、分级响应、区域联动”原则，针对该项目制定突发环境事故应急预案，并实现与相关管理部门和所在区域突发环境事故应急预案有效衔接，在生产装置和</w:t>
      </w:r>
      <w:r>
        <w:rPr>
          <w:rFonts w:hint="eastAsia" w:ascii="仿宋_GB2312" w:hAnsi="仿宋_GB2312" w:eastAsia="仿宋_GB2312" w:cs="仿宋_GB2312"/>
          <w:sz w:val="32"/>
          <w:szCs w:val="32"/>
          <w:lang w:val="en-US" w:eastAsia="zh-CN"/>
        </w:rPr>
        <w:t>原料</w:t>
      </w:r>
      <w:r>
        <w:rPr>
          <w:rFonts w:hint="eastAsia" w:ascii="仿宋_GB2312" w:hAnsi="仿宋_GB2312" w:eastAsia="仿宋_GB2312" w:cs="仿宋_GB2312"/>
          <w:sz w:val="32"/>
          <w:szCs w:val="32"/>
        </w:rPr>
        <w:t>区安装可燃气体报警器，有效防范和应</w:t>
      </w:r>
      <w:r>
        <w:rPr>
          <w:rFonts w:hAnsi="仿宋" w:eastAsia="仿宋"/>
          <w:sz w:val="32"/>
          <w:szCs w:val="32"/>
        </w:rPr>
        <w:t>对环境污染事故。</w:t>
      </w:r>
    </w:p>
    <w:p>
      <w:pPr>
        <w:pStyle w:val="2"/>
      </w:pPr>
      <w:r>
        <w:rPr>
          <w:rFonts w:hint="eastAsia" w:eastAsia="仿宋"/>
          <w:sz w:val="32"/>
          <w:szCs w:val="32"/>
        </w:rPr>
        <w:t>企业应做好环保设施运行和维护，严格落实环保设施安全生产工作要求，健全企业内部污染防治设施稳定运行和管理责任制度，委托有相应资质的设计单位对重点环保设施进行设计，并定期做好环保设备设施安全风险辨识评估和隐患排查治理。</w:t>
      </w:r>
    </w:p>
    <w:p>
      <w:pPr>
        <w:pStyle w:val="18"/>
        <w:ind w:left="0" w:leftChars="0" w:firstLine="640"/>
        <w:rPr>
          <w:rFonts w:hAnsi="仿宋" w:eastAsia="仿宋"/>
          <w:sz w:val="32"/>
          <w:szCs w:val="32"/>
        </w:rPr>
      </w:pPr>
      <w:r>
        <w:rPr>
          <w:rFonts w:hint="eastAsia" w:hAnsi="仿宋" w:eastAsia="仿宋"/>
          <w:sz w:val="32"/>
          <w:szCs w:val="32"/>
        </w:rPr>
        <w:t>（七）按照国家和地方有关规定设置规范的污染物排放口、采样孔口和采样监测平台，并设立标志牌。严格落实“报告书”提出的环境管理及监测计划。</w:t>
      </w:r>
    </w:p>
    <w:p>
      <w:pPr>
        <w:pStyle w:val="18"/>
        <w:ind w:left="0" w:leftChars="0" w:firstLine="640"/>
        <w:rPr>
          <w:rFonts w:hAnsi="仿宋" w:eastAsia="仿宋"/>
          <w:sz w:val="32"/>
          <w:szCs w:val="32"/>
        </w:rPr>
      </w:pPr>
      <w:r>
        <w:rPr>
          <w:rFonts w:hint="eastAsia" w:hAnsi="仿宋" w:eastAsia="仿宋"/>
          <w:sz w:val="32"/>
          <w:szCs w:val="32"/>
        </w:rPr>
        <w:t>（八）定期发布企业环境信息，并主动接受社会监督。</w:t>
      </w:r>
      <w:r>
        <w:rPr>
          <w:rFonts w:hAnsi="仿宋" w:eastAsia="仿宋"/>
          <w:sz w:val="32"/>
          <w:szCs w:val="32"/>
        </w:rPr>
        <w:t>在工程施工和运营过程中，应建立畅通的公众参与平台，及时解决公众担忧的环境问题，满足公众合理的环境诉求。</w:t>
      </w:r>
    </w:p>
    <w:p>
      <w:pPr>
        <w:pStyle w:val="18"/>
        <w:ind w:left="0" w:leftChars="0" w:firstLine="640"/>
        <w:rPr>
          <w:rFonts w:hAnsi="仿宋" w:eastAsia="仿宋"/>
          <w:sz w:val="32"/>
          <w:szCs w:val="32"/>
        </w:rPr>
      </w:pPr>
      <w:r>
        <w:rPr>
          <w:rFonts w:hint="eastAsia" w:hAnsi="仿宋" w:eastAsia="仿宋"/>
          <w:sz w:val="32"/>
          <w:szCs w:val="32"/>
        </w:rPr>
        <w:t>三、你公司应按《排污许可管理条例》规定，依法持证排污，取得排污许可证前，不得投产运行。</w:t>
      </w:r>
    </w:p>
    <w:p>
      <w:pPr>
        <w:pStyle w:val="18"/>
        <w:ind w:left="0" w:leftChars="0" w:firstLine="640"/>
        <w:rPr>
          <w:rFonts w:hAnsi="仿宋" w:eastAsia="仿宋"/>
          <w:sz w:val="32"/>
          <w:szCs w:val="32"/>
        </w:rPr>
      </w:pPr>
      <w:r>
        <w:rPr>
          <w:rFonts w:hint="eastAsia" w:hAnsi="仿宋" w:eastAsia="仿宋"/>
          <w:sz w:val="32"/>
          <w:szCs w:val="32"/>
        </w:rPr>
        <w:t>四、按照国家有关污染物排放总量控制要求，你公司落实污染物总量确认书中各污染物总量控制指标，落实污染物削减指标。</w:t>
      </w:r>
    </w:p>
    <w:p>
      <w:pPr>
        <w:pStyle w:val="18"/>
        <w:ind w:left="0" w:leftChars="0" w:firstLine="640"/>
        <w:rPr>
          <w:rFonts w:hAnsi="仿宋" w:eastAsia="仿宋"/>
          <w:sz w:val="32"/>
          <w:szCs w:val="32"/>
        </w:rPr>
      </w:pPr>
      <w:r>
        <w:rPr>
          <w:rFonts w:hint="eastAsia" w:hAnsi="仿宋" w:eastAsia="仿宋"/>
          <w:sz w:val="32"/>
          <w:szCs w:val="32"/>
        </w:rPr>
        <w:t>五</w:t>
      </w:r>
      <w:r>
        <w:rPr>
          <w:rFonts w:hAnsi="仿宋" w:eastAsia="仿宋"/>
          <w:sz w:val="32"/>
          <w:szCs w:val="32"/>
        </w:rPr>
        <w:t>、项目建设必须严格执行环境保护设施与主体工程同时设计、同时施工、同时投产使用的环境保护“三同时”制度。项目竣工后按照规定程序</w:t>
      </w:r>
      <w:r>
        <w:rPr>
          <w:rFonts w:hint="eastAsia" w:hAnsi="仿宋" w:eastAsia="仿宋"/>
          <w:sz w:val="32"/>
          <w:szCs w:val="32"/>
        </w:rPr>
        <w:t>完成</w:t>
      </w:r>
      <w:r>
        <w:rPr>
          <w:rFonts w:hAnsi="仿宋" w:eastAsia="仿宋"/>
          <w:sz w:val="32"/>
          <w:szCs w:val="32"/>
        </w:rPr>
        <w:t>竣工环境保护验收。经验收合格后，项目方可正式投入生产。</w:t>
      </w:r>
    </w:p>
    <w:p>
      <w:pPr>
        <w:pStyle w:val="18"/>
        <w:ind w:left="0" w:leftChars="0" w:firstLine="640"/>
        <w:rPr>
          <w:rFonts w:hAnsi="仿宋" w:eastAsia="仿宋"/>
          <w:sz w:val="32"/>
          <w:szCs w:val="32"/>
        </w:rPr>
      </w:pPr>
      <w:r>
        <w:rPr>
          <w:rFonts w:hint="eastAsia" w:hAnsi="仿宋" w:eastAsia="仿宋"/>
          <w:sz w:val="32"/>
          <w:szCs w:val="32"/>
        </w:rPr>
        <w:t>六</w:t>
      </w:r>
      <w:r>
        <w:rPr>
          <w:rFonts w:hAnsi="仿宋" w:eastAsia="仿宋"/>
          <w:sz w:val="32"/>
          <w:szCs w:val="32"/>
        </w:rPr>
        <w:t>、环境影响报告书经批准后，项目的性质、规模、地点、工艺或者防治污染、环境风险防范等措施发生重大变动的，应当重新报批该项目的环境影响报告书。自环境影响报告书批复文件批准之日起</w:t>
      </w:r>
      <w:r>
        <w:rPr>
          <w:rFonts w:hint="eastAsia" w:hAnsi="仿宋" w:eastAsia="仿宋"/>
          <w:sz w:val="32"/>
          <w:szCs w:val="32"/>
        </w:rPr>
        <w:t>，</w:t>
      </w:r>
      <w:r>
        <w:rPr>
          <w:rFonts w:hAnsi="仿宋" w:eastAsia="仿宋"/>
          <w:sz w:val="32"/>
          <w:szCs w:val="32"/>
        </w:rPr>
        <w:t>如超过5年开工建设，环境影响报告书应报我局重新审核。</w:t>
      </w:r>
    </w:p>
    <w:p>
      <w:pPr>
        <w:pStyle w:val="18"/>
        <w:ind w:left="0" w:leftChars="0" w:firstLine="640"/>
        <w:rPr>
          <w:rFonts w:hAnsi="仿宋" w:eastAsia="仿宋"/>
          <w:sz w:val="32"/>
          <w:szCs w:val="32"/>
        </w:rPr>
      </w:pPr>
      <w:r>
        <w:rPr>
          <w:rFonts w:hint="eastAsia" w:hAnsi="仿宋" w:eastAsia="仿宋"/>
          <w:sz w:val="32"/>
          <w:szCs w:val="32"/>
        </w:rPr>
        <w:t>七、双台子生态环境分局负责项目建设及运行期的环境管理工作，你公司按规定接受各级环境保护行政主管部门的日常监督检查。</w:t>
      </w:r>
    </w:p>
    <w:p/>
    <w:p>
      <w:pPr>
        <w:ind w:firstLine="5760" w:firstLineChars="1800"/>
        <w:rPr>
          <w:rFonts w:eastAsia="仿宋"/>
          <w:sz w:val="32"/>
          <w:szCs w:val="32"/>
        </w:rPr>
      </w:pPr>
    </w:p>
    <w:p>
      <w:pPr>
        <w:ind w:firstLine="5760" w:firstLineChars="1800"/>
        <w:rPr>
          <w:rFonts w:eastAsia="仿宋"/>
          <w:sz w:val="32"/>
          <w:szCs w:val="32"/>
        </w:rPr>
      </w:pPr>
    </w:p>
    <w:p>
      <w:pPr>
        <w:ind w:firstLine="5760" w:firstLineChars="1800"/>
        <w:rPr>
          <w:rFonts w:eastAsia="仿宋"/>
          <w:sz w:val="32"/>
          <w:szCs w:val="32"/>
        </w:rPr>
      </w:pPr>
    </w:p>
    <w:p>
      <w:pPr>
        <w:ind w:firstLine="5760" w:firstLineChars="1800"/>
        <w:rPr>
          <w:rFonts w:eastAsia="仿宋"/>
          <w:sz w:val="32"/>
          <w:szCs w:val="32"/>
        </w:rPr>
      </w:pPr>
      <w:r>
        <w:rPr>
          <w:rFonts w:eastAsia="仿宋"/>
          <w:sz w:val="32"/>
          <w:szCs w:val="32"/>
        </w:rPr>
        <w:t>盘锦市</w:t>
      </w:r>
      <w:r>
        <w:rPr>
          <w:rFonts w:hint="eastAsia" w:eastAsia="仿宋"/>
          <w:sz w:val="32"/>
          <w:szCs w:val="32"/>
        </w:rPr>
        <w:t>生态</w:t>
      </w:r>
      <w:r>
        <w:rPr>
          <w:rFonts w:eastAsia="仿宋"/>
          <w:sz w:val="32"/>
          <w:szCs w:val="32"/>
        </w:rPr>
        <w:t>环境局</w:t>
      </w:r>
    </w:p>
    <w:p>
      <w:pPr>
        <w:ind w:firstLine="640" w:firstLineChars="200"/>
        <w:jc w:val="center"/>
        <w:rPr>
          <w:rFonts w:eastAsia="仿宋"/>
          <w:sz w:val="32"/>
          <w:szCs w:val="32"/>
        </w:rPr>
      </w:pPr>
      <w:r>
        <w:rPr>
          <w:rFonts w:hint="eastAsia" w:eastAsia="仿宋"/>
          <w:sz w:val="32"/>
          <w:szCs w:val="32"/>
        </w:rPr>
        <w:t xml:space="preserve">                             202</w:t>
      </w:r>
      <w:r>
        <w:rPr>
          <w:rFonts w:hint="eastAsia" w:eastAsia="仿宋"/>
          <w:sz w:val="32"/>
          <w:szCs w:val="32"/>
          <w:lang w:val="en-US" w:eastAsia="zh-CN"/>
        </w:rPr>
        <w:t>4</w:t>
      </w:r>
      <w:r>
        <w:rPr>
          <w:rFonts w:eastAsia="仿宋"/>
          <w:sz w:val="32"/>
          <w:szCs w:val="32"/>
        </w:rPr>
        <w:t>年</w:t>
      </w:r>
      <w:r>
        <w:rPr>
          <w:rFonts w:hint="eastAsia" w:eastAsia="仿宋"/>
          <w:sz w:val="32"/>
          <w:szCs w:val="32"/>
          <w:lang w:val="en-US" w:eastAsia="zh-CN"/>
        </w:rPr>
        <w:t>4</w:t>
      </w:r>
      <w:r>
        <w:rPr>
          <w:rFonts w:eastAsia="仿宋"/>
          <w:sz w:val="32"/>
          <w:szCs w:val="32"/>
        </w:rPr>
        <w:t>月</w:t>
      </w:r>
      <w:r>
        <w:rPr>
          <w:rFonts w:hint="eastAsia" w:eastAsia="仿宋"/>
          <w:sz w:val="32"/>
          <w:szCs w:val="32"/>
          <w:lang w:val="en-US" w:eastAsia="zh-CN"/>
        </w:rPr>
        <w:t>2</w:t>
      </w:r>
      <w:bookmarkStart w:id="0" w:name="_GoBack"/>
      <w:bookmarkEnd w:id="0"/>
      <w:r>
        <w:rPr>
          <w:rFonts w:hint="eastAsia" w:eastAsia="仿宋"/>
          <w:sz w:val="32"/>
          <w:szCs w:val="32"/>
        </w:rPr>
        <w:t>8</w:t>
      </w:r>
      <w:r>
        <w:rPr>
          <w:rFonts w:eastAsia="仿宋"/>
          <w:sz w:val="32"/>
          <w:szCs w:val="32"/>
        </w:rPr>
        <w:t>日</w:t>
      </w:r>
    </w:p>
    <w:p>
      <w:pPr>
        <w:pStyle w:val="2"/>
        <w:rPr>
          <w:rFonts w:hint="default" w:ascii="Times New Roman" w:hAnsi="Times New Roman" w:eastAsia="仿宋" w:cs="Times New Roman"/>
          <w:color w:val="auto"/>
          <w:sz w:val="32"/>
          <w:szCs w:val="32"/>
          <w:highlight w:val="none"/>
        </w:rPr>
      </w:pPr>
    </w:p>
    <w:p>
      <w:pPr>
        <w:pStyle w:val="2"/>
        <w:rPr>
          <w:rFonts w:hint="default" w:ascii="Times New Roman" w:hAnsi="Times New Roman" w:eastAsia="仿宋" w:cs="Times New Roman"/>
          <w:color w:val="auto"/>
          <w:sz w:val="32"/>
          <w:szCs w:val="32"/>
          <w:highlight w:val="none"/>
        </w:rPr>
      </w:pPr>
    </w:p>
    <w:p>
      <w:pPr>
        <w:pStyle w:val="2"/>
        <w:rPr>
          <w:rFonts w:hint="default" w:ascii="Times New Roman" w:hAnsi="Times New Roman" w:eastAsia="仿宋" w:cs="Times New Roman"/>
          <w:color w:val="auto"/>
          <w:sz w:val="32"/>
          <w:szCs w:val="32"/>
          <w:highlight w:val="none"/>
        </w:rPr>
      </w:pPr>
    </w:p>
    <w:p>
      <w:pPr>
        <w:pStyle w:val="2"/>
        <w:rPr>
          <w:rFonts w:hint="default" w:ascii="Times New Roman" w:hAnsi="Times New Roman" w:eastAsia="仿宋" w:cs="Times New Roman"/>
          <w:color w:val="auto"/>
          <w:sz w:val="32"/>
          <w:szCs w:val="32"/>
          <w:highlight w:val="none"/>
        </w:rPr>
      </w:pPr>
    </w:p>
    <w:p>
      <w:pPr>
        <w:pStyle w:val="2"/>
        <w:rPr>
          <w:rFonts w:hint="default" w:ascii="Times New Roman" w:hAnsi="Times New Roman" w:eastAsia="仿宋" w:cs="Times New Roman"/>
          <w:color w:val="auto"/>
          <w:sz w:val="32"/>
          <w:szCs w:val="32"/>
          <w:highlight w:val="none"/>
        </w:rPr>
      </w:pPr>
    </w:p>
    <w:p>
      <w:pPr>
        <w:pStyle w:val="2"/>
        <w:rPr>
          <w:rFonts w:hint="default" w:ascii="Times New Roman" w:hAnsi="Times New Roman" w:eastAsia="仿宋" w:cs="Times New Roman"/>
          <w:color w:val="auto"/>
          <w:sz w:val="32"/>
          <w:szCs w:val="32"/>
          <w:highlight w:val="none"/>
        </w:rPr>
      </w:pPr>
    </w:p>
    <w:p>
      <w:pPr>
        <w:pStyle w:val="2"/>
        <w:rPr>
          <w:rFonts w:hint="default" w:ascii="Times New Roman" w:hAnsi="Times New Roman" w:eastAsia="仿宋" w:cs="Times New Roman"/>
          <w:color w:val="auto"/>
          <w:sz w:val="32"/>
          <w:szCs w:val="32"/>
          <w:highlight w:val="none"/>
        </w:rPr>
      </w:pPr>
    </w:p>
    <w:p>
      <w:pPr>
        <w:pStyle w:val="2"/>
        <w:rPr>
          <w:rFonts w:hint="default" w:ascii="Times New Roman" w:hAnsi="Times New Roman" w:eastAsia="仿宋" w:cs="Times New Roman"/>
          <w:color w:val="auto"/>
          <w:sz w:val="32"/>
          <w:szCs w:val="32"/>
          <w:highlight w:val="none"/>
        </w:rPr>
      </w:pPr>
    </w:p>
    <w:p>
      <w:pPr>
        <w:pStyle w:val="2"/>
        <w:rPr>
          <w:rFonts w:hint="default" w:ascii="Times New Roman" w:hAnsi="Times New Roman" w:eastAsia="仿宋" w:cs="Times New Roman"/>
          <w:color w:val="auto"/>
          <w:sz w:val="32"/>
          <w:szCs w:val="32"/>
          <w:highlight w:val="none"/>
        </w:rPr>
      </w:pPr>
    </w:p>
    <w:p>
      <w:pPr>
        <w:pStyle w:val="2"/>
        <w:rPr>
          <w:rFonts w:hint="default" w:ascii="Times New Roman" w:hAnsi="Times New Roman" w:eastAsia="仿宋" w:cs="Times New Roman"/>
          <w:color w:val="auto"/>
          <w:sz w:val="32"/>
          <w:szCs w:val="32"/>
          <w:highlight w:val="none"/>
        </w:rPr>
      </w:pPr>
    </w:p>
    <w:tbl>
      <w:tblPr>
        <w:tblStyle w:val="19"/>
        <w:tblpPr w:leftFromText="180" w:rightFromText="180" w:vertAnchor="text" w:horzAnchor="page" w:tblpX="1577" w:tblpY="17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000" w:type="dxa"/>
            <w:tcBorders>
              <w:top w:val="single" w:color="auto" w:sz="4" w:space="0"/>
              <w:left w:val="nil"/>
              <w:bottom w:val="single" w:color="auto" w:sz="4" w:space="0"/>
              <w:right w:val="nil"/>
            </w:tcBorders>
            <w:noWrap w:val="0"/>
            <w:vAlign w:val="top"/>
          </w:tcPr>
          <w:p>
            <w:pPr>
              <w:spacing w:line="50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抄送：</w:t>
            </w:r>
            <w:r>
              <w:rPr>
                <w:rFonts w:hint="eastAsia" w:ascii="仿宋_GB2312" w:hAnsi="仿宋_GB2312" w:eastAsia="仿宋_GB2312" w:cs="仿宋_GB2312"/>
                <w:sz w:val="28"/>
                <w:szCs w:val="28"/>
                <w:lang w:val="en-US" w:eastAsia="zh-CN"/>
              </w:rPr>
              <w:t>大洼</w:t>
            </w:r>
            <w:r>
              <w:rPr>
                <w:rFonts w:hint="eastAsia" w:ascii="仿宋_GB2312" w:hAnsi="仿宋_GB2312" w:eastAsia="仿宋_GB2312" w:cs="仿宋_GB2312"/>
                <w:sz w:val="28"/>
                <w:szCs w:val="28"/>
              </w:rPr>
              <w:t>生态环境分局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市生态环境局机关各科室、盘锦市生态环境保护服务中心、市生态环境保护综合行政执法队</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000" w:type="dxa"/>
            <w:tcBorders>
              <w:top w:val="single" w:color="auto" w:sz="4" w:space="0"/>
              <w:left w:val="nil"/>
              <w:bottom w:val="single" w:color="auto" w:sz="4" w:space="0"/>
              <w:right w:val="nil"/>
            </w:tcBorders>
            <w:noWrap w:val="0"/>
            <w:vAlign w:val="top"/>
          </w:tcPr>
          <w:p>
            <w:pPr>
              <w:spacing w:line="360" w:lineRule="auto"/>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盘锦市生态环境局办公室                    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日印发</w:t>
            </w:r>
          </w:p>
        </w:tc>
      </w:tr>
    </w:tbl>
    <w:p>
      <w:pPr>
        <w:tabs>
          <w:tab w:val="left" w:pos="3572"/>
        </w:tabs>
        <w:bidi w:val="0"/>
        <w:jc w:val="left"/>
        <w:rPr>
          <w:rFonts w:hint="eastAsia"/>
          <w:lang w:val="en-US" w:eastAsia="zh-CN"/>
        </w:rPr>
      </w:pPr>
    </w:p>
    <w:sectPr>
      <w:headerReference r:id="rId3" w:type="default"/>
      <w:footerReference r:id="rId4" w:type="default"/>
      <w:pgSz w:w="11906" w:h="16838"/>
      <w:pgMar w:top="1698" w:right="1531" w:bottom="1480"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DFC48023-FA03-43EE-B655-ECA68778EF61}"/>
  </w:font>
  <w:font w:name="仿宋_GB2312">
    <w:panose1 w:val="02010609030101010101"/>
    <w:charset w:val="86"/>
    <w:family w:val="modern"/>
    <w:pitch w:val="default"/>
    <w:sig w:usb0="00000001" w:usb1="080E0000" w:usb2="00000000" w:usb3="00000000" w:csb0="00040000" w:csb1="00000000"/>
    <w:embedRegular r:id="rId2" w:fontKey="{E5EEA577-93CE-48D3-BDCA-A2582FF430F5}"/>
  </w:font>
  <w:font w:name="仿宋">
    <w:panose1 w:val="02010609060101010101"/>
    <w:charset w:val="86"/>
    <w:family w:val="modern"/>
    <w:pitch w:val="default"/>
    <w:sig w:usb0="800002BF" w:usb1="38CF7CFA" w:usb2="00000016" w:usb3="00000000" w:csb0="00040001" w:csb1="00000000"/>
    <w:embedRegular r:id="rId3" w:fontKey="{1021EA35-5DC6-4B4E-A224-D7C1F5BFD0EB}"/>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楷体_GB2312">
    <w:panose1 w:val="02010609030101010101"/>
    <w:charset w:val="86"/>
    <w:family w:val="modern"/>
    <w:pitch w:val="default"/>
    <w:sig w:usb0="00000001" w:usb1="080E0000" w:usb2="00000000" w:usb3="00000000" w:csb0="00040000" w:csb1="00000000"/>
    <w:embedRegular r:id="rId4" w:fontKey="{16B33931-61DF-4E80-880D-D1EE0042E4D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ZGYxMjM5MzRmZDA4ZThhOTZhYTcwYzU0OTVlNjcifQ=="/>
  </w:docVars>
  <w:rsids>
    <w:rsidRoot w:val="00221223"/>
    <w:rsid w:val="000022C4"/>
    <w:rsid w:val="00006710"/>
    <w:rsid w:val="00012A4F"/>
    <w:rsid w:val="00033156"/>
    <w:rsid w:val="00035F78"/>
    <w:rsid w:val="00036DE5"/>
    <w:rsid w:val="00090F2B"/>
    <w:rsid w:val="000960F3"/>
    <w:rsid w:val="000C2A4D"/>
    <w:rsid w:val="000F41D1"/>
    <w:rsid w:val="000F64A3"/>
    <w:rsid w:val="000F6883"/>
    <w:rsid w:val="00120F83"/>
    <w:rsid w:val="0012745C"/>
    <w:rsid w:val="00133518"/>
    <w:rsid w:val="00153CA7"/>
    <w:rsid w:val="001850CD"/>
    <w:rsid w:val="00186ED3"/>
    <w:rsid w:val="0019053E"/>
    <w:rsid w:val="001A6A7A"/>
    <w:rsid w:val="001E2B25"/>
    <w:rsid w:val="001E2EAF"/>
    <w:rsid w:val="001F3D1B"/>
    <w:rsid w:val="00221223"/>
    <w:rsid w:val="002459A5"/>
    <w:rsid w:val="00251FBC"/>
    <w:rsid w:val="00261E4E"/>
    <w:rsid w:val="00270822"/>
    <w:rsid w:val="00271072"/>
    <w:rsid w:val="002A30E7"/>
    <w:rsid w:val="002B5D3E"/>
    <w:rsid w:val="0032585B"/>
    <w:rsid w:val="00340E78"/>
    <w:rsid w:val="00341200"/>
    <w:rsid w:val="003514EF"/>
    <w:rsid w:val="00374FCB"/>
    <w:rsid w:val="003A3B2E"/>
    <w:rsid w:val="003A481B"/>
    <w:rsid w:val="003C2FA5"/>
    <w:rsid w:val="003D551B"/>
    <w:rsid w:val="003F729B"/>
    <w:rsid w:val="00416863"/>
    <w:rsid w:val="004A43F9"/>
    <w:rsid w:val="004B5653"/>
    <w:rsid w:val="004C29C2"/>
    <w:rsid w:val="004E7AED"/>
    <w:rsid w:val="004F5EBF"/>
    <w:rsid w:val="005014AB"/>
    <w:rsid w:val="00503914"/>
    <w:rsid w:val="00510980"/>
    <w:rsid w:val="005409BB"/>
    <w:rsid w:val="00547360"/>
    <w:rsid w:val="00562404"/>
    <w:rsid w:val="005A249B"/>
    <w:rsid w:val="005B0BA7"/>
    <w:rsid w:val="0060326A"/>
    <w:rsid w:val="00613BEC"/>
    <w:rsid w:val="006252DF"/>
    <w:rsid w:val="00632E81"/>
    <w:rsid w:val="006409E2"/>
    <w:rsid w:val="00661C23"/>
    <w:rsid w:val="006864AE"/>
    <w:rsid w:val="00694161"/>
    <w:rsid w:val="006A11BD"/>
    <w:rsid w:val="006E7674"/>
    <w:rsid w:val="00713CDD"/>
    <w:rsid w:val="007218EE"/>
    <w:rsid w:val="007227FA"/>
    <w:rsid w:val="0075701A"/>
    <w:rsid w:val="00762670"/>
    <w:rsid w:val="00767D24"/>
    <w:rsid w:val="007B64EE"/>
    <w:rsid w:val="007B7A28"/>
    <w:rsid w:val="007D71FD"/>
    <w:rsid w:val="007E3772"/>
    <w:rsid w:val="00804597"/>
    <w:rsid w:val="00814619"/>
    <w:rsid w:val="00860E9B"/>
    <w:rsid w:val="008661B7"/>
    <w:rsid w:val="0086751D"/>
    <w:rsid w:val="008A07E2"/>
    <w:rsid w:val="008A4349"/>
    <w:rsid w:val="008B446D"/>
    <w:rsid w:val="008B7843"/>
    <w:rsid w:val="008C156F"/>
    <w:rsid w:val="00916982"/>
    <w:rsid w:val="009251CA"/>
    <w:rsid w:val="00935B0A"/>
    <w:rsid w:val="009410E1"/>
    <w:rsid w:val="00960943"/>
    <w:rsid w:val="009826FC"/>
    <w:rsid w:val="00A016BF"/>
    <w:rsid w:val="00A13BCD"/>
    <w:rsid w:val="00A31204"/>
    <w:rsid w:val="00A469B0"/>
    <w:rsid w:val="00A72F84"/>
    <w:rsid w:val="00A93719"/>
    <w:rsid w:val="00AE7696"/>
    <w:rsid w:val="00B05B31"/>
    <w:rsid w:val="00B0766C"/>
    <w:rsid w:val="00B77824"/>
    <w:rsid w:val="00B85001"/>
    <w:rsid w:val="00BA4104"/>
    <w:rsid w:val="00BD2971"/>
    <w:rsid w:val="00BE7B97"/>
    <w:rsid w:val="00C05C5F"/>
    <w:rsid w:val="00C14812"/>
    <w:rsid w:val="00C812BC"/>
    <w:rsid w:val="00CA0C97"/>
    <w:rsid w:val="00CA3A5D"/>
    <w:rsid w:val="00CC1BB9"/>
    <w:rsid w:val="00CD3545"/>
    <w:rsid w:val="00D51C48"/>
    <w:rsid w:val="00D64CA9"/>
    <w:rsid w:val="00DB5127"/>
    <w:rsid w:val="00DB57DC"/>
    <w:rsid w:val="00DC0909"/>
    <w:rsid w:val="00DF439C"/>
    <w:rsid w:val="00E20084"/>
    <w:rsid w:val="00E349D1"/>
    <w:rsid w:val="00E36581"/>
    <w:rsid w:val="00E51F7B"/>
    <w:rsid w:val="00E61854"/>
    <w:rsid w:val="00E73523"/>
    <w:rsid w:val="00E771FE"/>
    <w:rsid w:val="00E80594"/>
    <w:rsid w:val="00EB6C35"/>
    <w:rsid w:val="00EC3A69"/>
    <w:rsid w:val="00F15A3E"/>
    <w:rsid w:val="00F231BA"/>
    <w:rsid w:val="00F44F10"/>
    <w:rsid w:val="00F72804"/>
    <w:rsid w:val="00FA1291"/>
    <w:rsid w:val="00FB0FC3"/>
    <w:rsid w:val="00FB4983"/>
    <w:rsid w:val="00FD7FDF"/>
    <w:rsid w:val="00FE2552"/>
    <w:rsid w:val="02A012CC"/>
    <w:rsid w:val="02C57730"/>
    <w:rsid w:val="02F90D2C"/>
    <w:rsid w:val="0328129C"/>
    <w:rsid w:val="0336719E"/>
    <w:rsid w:val="033A6B24"/>
    <w:rsid w:val="03401627"/>
    <w:rsid w:val="036B29DC"/>
    <w:rsid w:val="03B15391"/>
    <w:rsid w:val="03DA72B5"/>
    <w:rsid w:val="0410624E"/>
    <w:rsid w:val="045606B8"/>
    <w:rsid w:val="0461061C"/>
    <w:rsid w:val="047B2BEA"/>
    <w:rsid w:val="051E516F"/>
    <w:rsid w:val="059946DB"/>
    <w:rsid w:val="05F32763"/>
    <w:rsid w:val="065E6284"/>
    <w:rsid w:val="06893D98"/>
    <w:rsid w:val="06C71CBD"/>
    <w:rsid w:val="075B5D40"/>
    <w:rsid w:val="078169DC"/>
    <w:rsid w:val="07A435C6"/>
    <w:rsid w:val="084872A9"/>
    <w:rsid w:val="0924239F"/>
    <w:rsid w:val="0963763A"/>
    <w:rsid w:val="098D2299"/>
    <w:rsid w:val="0AA81D11"/>
    <w:rsid w:val="0AAE3D6D"/>
    <w:rsid w:val="0B84200E"/>
    <w:rsid w:val="0B8A71EC"/>
    <w:rsid w:val="0B8F2717"/>
    <w:rsid w:val="0BFE706B"/>
    <w:rsid w:val="0C191405"/>
    <w:rsid w:val="0C8F6235"/>
    <w:rsid w:val="0D2932A4"/>
    <w:rsid w:val="0E2F6274"/>
    <w:rsid w:val="0E777376"/>
    <w:rsid w:val="0E9908E2"/>
    <w:rsid w:val="0EF225F0"/>
    <w:rsid w:val="0F185CB7"/>
    <w:rsid w:val="0F780309"/>
    <w:rsid w:val="0F7B2E51"/>
    <w:rsid w:val="0F875B91"/>
    <w:rsid w:val="0F986886"/>
    <w:rsid w:val="0FA47A5F"/>
    <w:rsid w:val="124D1355"/>
    <w:rsid w:val="125205DC"/>
    <w:rsid w:val="12713794"/>
    <w:rsid w:val="12F005A8"/>
    <w:rsid w:val="13177266"/>
    <w:rsid w:val="13460591"/>
    <w:rsid w:val="145818D2"/>
    <w:rsid w:val="14EE186C"/>
    <w:rsid w:val="154E75E2"/>
    <w:rsid w:val="15CA0452"/>
    <w:rsid w:val="15FD5C29"/>
    <w:rsid w:val="160D26F3"/>
    <w:rsid w:val="16324656"/>
    <w:rsid w:val="163C70C4"/>
    <w:rsid w:val="166A1474"/>
    <w:rsid w:val="16871C7A"/>
    <w:rsid w:val="179368B9"/>
    <w:rsid w:val="17AD2398"/>
    <w:rsid w:val="17F60DD3"/>
    <w:rsid w:val="18342780"/>
    <w:rsid w:val="18E66F08"/>
    <w:rsid w:val="1910429A"/>
    <w:rsid w:val="192B4D5C"/>
    <w:rsid w:val="196509E9"/>
    <w:rsid w:val="1B2B60AD"/>
    <w:rsid w:val="1B9328F3"/>
    <w:rsid w:val="1C3B085A"/>
    <w:rsid w:val="1CB60720"/>
    <w:rsid w:val="1CB60CDB"/>
    <w:rsid w:val="1DFA3281"/>
    <w:rsid w:val="1E590982"/>
    <w:rsid w:val="1FAD5BA8"/>
    <w:rsid w:val="1FF80C37"/>
    <w:rsid w:val="20557BC0"/>
    <w:rsid w:val="21984A90"/>
    <w:rsid w:val="21B43FFC"/>
    <w:rsid w:val="22B602B1"/>
    <w:rsid w:val="23001B96"/>
    <w:rsid w:val="23444295"/>
    <w:rsid w:val="23C25F83"/>
    <w:rsid w:val="243E5984"/>
    <w:rsid w:val="24536EFD"/>
    <w:rsid w:val="24A80C9A"/>
    <w:rsid w:val="24E115EC"/>
    <w:rsid w:val="24FE6FAA"/>
    <w:rsid w:val="25077CBD"/>
    <w:rsid w:val="258D558A"/>
    <w:rsid w:val="25901443"/>
    <w:rsid w:val="25A65428"/>
    <w:rsid w:val="26960002"/>
    <w:rsid w:val="26C549BC"/>
    <w:rsid w:val="272A5BA0"/>
    <w:rsid w:val="27CF1C72"/>
    <w:rsid w:val="28060AD5"/>
    <w:rsid w:val="2830434B"/>
    <w:rsid w:val="287017D7"/>
    <w:rsid w:val="28BB059B"/>
    <w:rsid w:val="29CB0E44"/>
    <w:rsid w:val="2A2B20C0"/>
    <w:rsid w:val="2AB62F90"/>
    <w:rsid w:val="2CB364CE"/>
    <w:rsid w:val="2D15273B"/>
    <w:rsid w:val="2DCF12F5"/>
    <w:rsid w:val="2DF96410"/>
    <w:rsid w:val="2E0F1B01"/>
    <w:rsid w:val="2E2F2B2B"/>
    <w:rsid w:val="2ECD7468"/>
    <w:rsid w:val="2EDA6908"/>
    <w:rsid w:val="2F6D7B2F"/>
    <w:rsid w:val="2FE20701"/>
    <w:rsid w:val="301E6555"/>
    <w:rsid w:val="305D323B"/>
    <w:rsid w:val="309A0400"/>
    <w:rsid w:val="30B949FB"/>
    <w:rsid w:val="30D859B0"/>
    <w:rsid w:val="316A0668"/>
    <w:rsid w:val="31827B96"/>
    <w:rsid w:val="31931E33"/>
    <w:rsid w:val="31B373C8"/>
    <w:rsid w:val="31E92535"/>
    <w:rsid w:val="324F6E75"/>
    <w:rsid w:val="328417B6"/>
    <w:rsid w:val="32ED7F9D"/>
    <w:rsid w:val="34383839"/>
    <w:rsid w:val="34CE48C9"/>
    <w:rsid w:val="34F428CF"/>
    <w:rsid w:val="352F394A"/>
    <w:rsid w:val="353C0250"/>
    <w:rsid w:val="358B5193"/>
    <w:rsid w:val="362D3DD5"/>
    <w:rsid w:val="37EE702C"/>
    <w:rsid w:val="3913438E"/>
    <w:rsid w:val="39792A34"/>
    <w:rsid w:val="39F75671"/>
    <w:rsid w:val="3AE23D9D"/>
    <w:rsid w:val="3BB7583C"/>
    <w:rsid w:val="3C541299"/>
    <w:rsid w:val="3C9C4571"/>
    <w:rsid w:val="3CE86D26"/>
    <w:rsid w:val="3D23753B"/>
    <w:rsid w:val="3D742D07"/>
    <w:rsid w:val="3D986FEC"/>
    <w:rsid w:val="3DA1437E"/>
    <w:rsid w:val="3E2A1AE5"/>
    <w:rsid w:val="3F2362A1"/>
    <w:rsid w:val="3F3E6DD2"/>
    <w:rsid w:val="3F7E5122"/>
    <w:rsid w:val="401612A3"/>
    <w:rsid w:val="401C2EA4"/>
    <w:rsid w:val="40294436"/>
    <w:rsid w:val="40AF5B8A"/>
    <w:rsid w:val="40BF0DFA"/>
    <w:rsid w:val="40C746E6"/>
    <w:rsid w:val="412A3412"/>
    <w:rsid w:val="4130003D"/>
    <w:rsid w:val="416217F5"/>
    <w:rsid w:val="426041F1"/>
    <w:rsid w:val="434F08F4"/>
    <w:rsid w:val="438A08E2"/>
    <w:rsid w:val="43C14D91"/>
    <w:rsid w:val="43C3273B"/>
    <w:rsid w:val="43C9470B"/>
    <w:rsid w:val="452366B8"/>
    <w:rsid w:val="458C75A8"/>
    <w:rsid w:val="45A444B6"/>
    <w:rsid w:val="460D74FE"/>
    <w:rsid w:val="462C3D16"/>
    <w:rsid w:val="46A50B40"/>
    <w:rsid w:val="46C20FAB"/>
    <w:rsid w:val="47171891"/>
    <w:rsid w:val="47303EE4"/>
    <w:rsid w:val="47EF0359"/>
    <w:rsid w:val="48AC1A4A"/>
    <w:rsid w:val="4916356D"/>
    <w:rsid w:val="4969697D"/>
    <w:rsid w:val="497B5A44"/>
    <w:rsid w:val="49F500F7"/>
    <w:rsid w:val="4A3D2FA0"/>
    <w:rsid w:val="4B6F5160"/>
    <w:rsid w:val="4C1471C3"/>
    <w:rsid w:val="4C9A0AD0"/>
    <w:rsid w:val="4CFE679A"/>
    <w:rsid w:val="4D4F591A"/>
    <w:rsid w:val="4DD57D7F"/>
    <w:rsid w:val="4DE71EA9"/>
    <w:rsid w:val="4E3C30D4"/>
    <w:rsid w:val="4E7D771D"/>
    <w:rsid w:val="4EF47D3A"/>
    <w:rsid w:val="4F0C6E05"/>
    <w:rsid w:val="4F337B24"/>
    <w:rsid w:val="4F3E39E9"/>
    <w:rsid w:val="4FE24116"/>
    <w:rsid w:val="50274691"/>
    <w:rsid w:val="50A373DC"/>
    <w:rsid w:val="51023094"/>
    <w:rsid w:val="51393856"/>
    <w:rsid w:val="51501F2F"/>
    <w:rsid w:val="51D03D50"/>
    <w:rsid w:val="526972E9"/>
    <w:rsid w:val="538C1FAF"/>
    <w:rsid w:val="54545C22"/>
    <w:rsid w:val="54740C06"/>
    <w:rsid w:val="54D33ADC"/>
    <w:rsid w:val="54DF747A"/>
    <w:rsid w:val="54F102A8"/>
    <w:rsid w:val="55124B31"/>
    <w:rsid w:val="557F096D"/>
    <w:rsid w:val="56DF432F"/>
    <w:rsid w:val="577E3B51"/>
    <w:rsid w:val="57E47851"/>
    <w:rsid w:val="58637435"/>
    <w:rsid w:val="586D673B"/>
    <w:rsid w:val="595800B5"/>
    <w:rsid w:val="59FF5432"/>
    <w:rsid w:val="5A147AEF"/>
    <w:rsid w:val="5A4760C7"/>
    <w:rsid w:val="5A553025"/>
    <w:rsid w:val="5A821E11"/>
    <w:rsid w:val="5AE01E88"/>
    <w:rsid w:val="5B451AA2"/>
    <w:rsid w:val="5BBF7BEF"/>
    <w:rsid w:val="5BE05159"/>
    <w:rsid w:val="5C600C7F"/>
    <w:rsid w:val="5C9008C7"/>
    <w:rsid w:val="5CC064CD"/>
    <w:rsid w:val="5CE014E0"/>
    <w:rsid w:val="5CE83706"/>
    <w:rsid w:val="5D3168D6"/>
    <w:rsid w:val="5D4A1AE0"/>
    <w:rsid w:val="5E6935E2"/>
    <w:rsid w:val="5EA95E78"/>
    <w:rsid w:val="5EB62F9D"/>
    <w:rsid w:val="5F521D0E"/>
    <w:rsid w:val="602D69D0"/>
    <w:rsid w:val="604A3889"/>
    <w:rsid w:val="606B7CDE"/>
    <w:rsid w:val="606C1ABA"/>
    <w:rsid w:val="60756B91"/>
    <w:rsid w:val="61E71EA1"/>
    <w:rsid w:val="62CD7C71"/>
    <w:rsid w:val="62FF1269"/>
    <w:rsid w:val="632C50FC"/>
    <w:rsid w:val="6569212F"/>
    <w:rsid w:val="65B20F9D"/>
    <w:rsid w:val="66572541"/>
    <w:rsid w:val="667328A7"/>
    <w:rsid w:val="66737851"/>
    <w:rsid w:val="66C033A2"/>
    <w:rsid w:val="67020A0A"/>
    <w:rsid w:val="672D37A6"/>
    <w:rsid w:val="678D3303"/>
    <w:rsid w:val="67B63ADD"/>
    <w:rsid w:val="68A458F0"/>
    <w:rsid w:val="68DF0621"/>
    <w:rsid w:val="690D5BCB"/>
    <w:rsid w:val="692F5314"/>
    <w:rsid w:val="6A7D58E3"/>
    <w:rsid w:val="6B6764D9"/>
    <w:rsid w:val="6C1A1634"/>
    <w:rsid w:val="6C5521C8"/>
    <w:rsid w:val="6C81461E"/>
    <w:rsid w:val="6E0A1337"/>
    <w:rsid w:val="6EC1246B"/>
    <w:rsid w:val="6F7D5C88"/>
    <w:rsid w:val="70161C11"/>
    <w:rsid w:val="70442823"/>
    <w:rsid w:val="709F3AA1"/>
    <w:rsid w:val="70EC38CE"/>
    <w:rsid w:val="7131483E"/>
    <w:rsid w:val="71F418AD"/>
    <w:rsid w:val="71F61695"/>
    <w:rsid w:val="723E7C1A"/>
    <w:rsid w:val="72747CED"/>
    <w:rsid w:val="72A11C63"/>
    <w:rsid w:val="72C4301B"/>
    <w:rsid w:val="73072158"/>
    <w:rsid w:val="73FA2497"/>
    <w:rsid w:val="74037A74"/>
    <w:rsid w:val="745118AC"/>
    <w:rsid w:val="747407A1"/>
    <w:rsid w:val="7476046D"/>
    <w:rsid w:val="747F686B"/>
    <w:rsid w:val="74E04DAE"/>
    <w:rsid w:val="74E0685C"/>
    <w:rsid w:val="74FF5E05"/>
    <w:rsid w:val="75074526"/>
    <w:rsid w:val="75121B62"/>
    <w:rsid w:val="752533FE"/>
    <w:rsid w:val="7549478E"/>
    <w:rsid w:val="75DD5779"/>
    <w:rsid w:val="75F22CEF"/>
    <w:rsid w:val="762B3BAE"/>
    <w:rsid w:val="76CD5E85"/>
    <w:rsid w:val="77253324"/>
    <w:rsid w:val="77260641"/>
    <w:rsid w:val="779664E4"/>
    <w:rsid w:val="78420DE6"/>
    <w:rsid w:val="78EF4C0F"/>
    <w:rsid w:val="79EA424B"/>
    <w:rsid w:val="7A006E00"/>
    <w:rsid w:val="7A57526B"/>
    <w:rsid w:val="7A7C14F0"/>
    <w:rsid w:val="7AB87B29"/>
    <w:rsid w:val="7B2B34BA"/>
    <w:rsid w:val="7BD5678E"/>
    <w:rsid w:val="7BE2656B"/>
    <w:rsid w:val="7BEB5C42"/>
    <w:rsid w:val="7BF62DA1"/>
    <w:rsid w:val="7C526109"/>
    <w:rsid w:val="7CBC20C2"/>
    <w:rsid w:val="7D9E7419"/>
    <w:rsid w:val="7DD51663"/>
    <w:rsid w:val="7EEB11D7"/>
    <w:rsid w:val="7EFC18E2"/>
    <w:rsid w:val="7F1D0D79"/>
    <w:rsid w:val="7FD666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6" w:lineRule="auto"/>
      <w:outlineLvl w:val="0"/>
    </w:pPr>
    <w:rPr>
      <w:rFonts w:ascii="Times New Roman" w:hAnsi="Times New Roman"/>
      <w:b/>
      <w:kern w:val="44"/>
      <w:sz w:val="44"/>
    </w:rPr>
  </w:style>
  <w:style w:type="character" w:default="1" w:styleId="21">
    <w:name w:val="Default Paragraph Font"/>
    <w:autoRedefine/>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正文 首行缩进:  2 字符"/>
    <w:basedOn w:val="1"/>
    <w:qFormat/>
    <w:uiPriority w:val="0"/>
    <w:pPr>
      <w:spacing w:line="360" w:lineRule="auto"/>
      <w:ind w:firstLine="200" w:firstLineChars="200"/>
    </w:pPr>
    <w:rPr>
      <w:rFonts w:cs="宋体"/>
    </w:rPr>
  </w:style>
  <w:style w:type="paragraph" w:styleId="4">
    <w:name w:val="Normal Indent"/>
    <w:basedOn w:val="1"/>
    <w:next w:val="1"/>
    <w:qFormat/>
    <w:uiPriority w:val="0"/>
    <w:pPr>
      <w:ind w:firstLine="420" w:firstLineChars="200"/>
    </w:pPr>
  </w:style>
  <w:style w:type="paragraph" w:styleId="5">
    <w:name w:val="annotation text"/>
    <w:basedOn w:val="1"/>
    <w:autoRedefine/>
    <w:qFormat/>
    <w:uiPriority w:val="0"/>
    <w:pPr>
      <w:jc w:val="left"/>
    </w:pPr>
  </w:style>
  <w:style w:type="paragraph" w:styleId="6">
    <w:name w:val="Body Text"/>
    <w:basedOn w:val="1"/>
    <w:qFormat/>
    <w:uiPriority w:val="0"/>
    <w:pPr>
      <w:spacing w:line="240" w:lineRule="exact"/>
      <w:jc w:val="center"/>
    </w:pPr>
    <w:rPr>
      <w:rFonts w:ascii="宋体" w:hAnsi="宋体"/>
    </w:rPr>
  </w:style>
  <w:style w:type="paragraph" w:styleId="7">
    <w:name w:val="Body Text Indent"/>
    <w:basedOn w:val="1"/>
    <w:qFormat/>
    <w:uiPriority w:val="0"/>
    <w:pPr>
      <w:spacing w:line="300" w:lineRule="auto"/>
      <w:ind w:firstLine="640" w:firstLineChars="200"/>
    </w:pPr>
    <w:rPr>
      <w:sz w:val="32"/>
    </w:rPr>
  </w:style>
  <w:style w:type="paragraph" w:styleId="8">
    <w:name w:val="Date"/>
    <w:basedOn w:val="1"/>
    <w:next w:val="1"/>
    <w:link w:val="37"/>
    <w:autoRedefine/>
    <w:qFormat/>
    <w:uiPriority w:val="0"/>
    <w:pPr>
      <w:ind w:left="100" w:leftChars="2500"/>
    </w:pPr>
  </w:style>
  <w:style w:type="paragraph" w:styleId="9">
    <w:name w:val="Body Text Indent 2"/>
    <w:basedOn w:val="1"/>
    <w:next w:val="1"/>
    <w:link w:val="34"/>
    <w:autoRedefine/>
    <w:qFormat/>
    <w:uiPriority w:val="0"/>
    <w:pPr>
      <w:adjustRightInd w:val="0"/>
      <w:spacing w:line="360" w:lineRule="auto"/>
      <w:ind w:firstLine="420"/>
      <w:jc w:val="left"/>
    </w:pPr>
    <w:rPr>
      <w:rFonts w:ascii="宋体" w:hAnsi="宋体"/>
      <w:szCs w:val="20"/>
    </w:rPr>
  </w:style>
  <w:style w:type="paragraph" w:styleId="10">
    <w:name w:val="Balloon Text"/>
    <w:basedOn w:val="1"/>
    <w:link w:val="35"/>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next w:val="1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样式5"/>
    <w:basedOn w:val="4"/>
    <w:autoRedefine/>
    <w:qFormat/>
    <w:uiPriority w:val="0"/>
    <w:pPr>
      <w:spacing w:line="360" w:lineRule="auto"/>
      <w:ind w:firstLine="480" w:firstLineChars="200"/>
    </w:pPr>
    <w:rPr>
      <w:rFonts w:eastAsia="仿宋_GB2312"/>
      <w:sz w:val="24"/>
    </w:rPr>
  </w:style>
  <w:style w:type="paragraph" w:styleId="14">
    <w:name w:val="footnote text"/>
    <w:basedOn w:val="1"/>
    <w:autoRedefine/>
    <w:qFormat/>
    <w:uiPriority w:val="99"/>
    <w:pPr>
      <w:snapToGrid w:val="0"/>
      <w:spacing w:line="560" w:lineRule="exact"/>
      <w:ind w:firstLine="200" w:firstLineChars="200"/>
      <w:jc w:val="left"/>
    </w:pPr>
    <w:rPr>
      <w:rFonts w:eastAsia="仿宋"/>
      <w:sz w:val="18"/>
      <w:szCs w:val="20"/>
    </w:rPr>
  </w:style>
  <w:style w:type="paragraph" w:styleId="1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link w:val="36"/>
    <w:autoRedefine/>
    <w:qFormat/>
    <w:uiPriority w:val="10"/>
    <w:pPr>
      <w:spacing w:before="240" w:after="60"/>
      <w:jc w:val="center"/>
      <w:outlineLvl w:val="0"/>
    </w:pPr>
    <w:rPr>
      <w:rFonts w:ascii="Cambria" w:hAnsi="Cambria" w:cs="Times New Roman"/>
      <w:b/>
      <w:bCs/>
      <w:sz w:val="32"/>
      <w:szCs w:val="32"/>
    </w:rPr>
  </w:style>
  <w:style w:type="paragraph" w:styleId="17">
    <w:name w:val="Body Text First Indent"/>
    <w:basedOn w:val="6"/>
    <w:next w:val="1"/>
    <w:autoRedefine/>
    <w:qFormat/>
    <w:uiPriority w:val="0"/>
    <w:pPr>
      <w:ind w:firstLine="420" w:firstLineChars="100"/>
    </w:pPr>
  </w:style>
  <w:style w:type="paragraph" w:styleId="18">
    <w:name w:val="Body Text First Indent 2"/>
    <w:basedOn w:val="7"/>
    <w:next w:val="1"/>
    <w:autoRedefine/>
    <w:qFormat/>
    <w:uiPriority w:val="0"/>
    <w:pPr>
      <w:spacing w:line="240" w:lineRule="auto"/>
      <w:ind w:left="420" w:leftChars="200" w:firstLine="420"/>
    </w:pPr>
    <w:rPr>
      <w:sz w:val="21"/>
    </w:rPr>
  </w:style>
  <w:style w:type="table" w:styleId="20">
    <w:name w:val="Table Grid"/>
    <w:basedOn w:val="19"/>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22"/>
    <w:rPr>
      <w:b/>
    </w:rPr>
  </w:style>
  <w:style w:type="character" w:styleId="23">
    <w:name w:val="page number"/>
    <w:basedOn w:val="21"/>
    <w:autoRedefine/>
    <w:qFormat/>
    <w:uiPriority w:val="0"/>
  </w:style>
  <w:style w:type="character" w:styleId="24">
    <w:name w:val="FollowedHyperlink"/>
    <w:autoRedefine/>
    <w:qFormat/>
    <w:uiPriority w:val="0"/>
    <w:rPr>
      <w:color w:val="005283"/>
      <w:sz w:val="24"/>
      <w:szCs w:val="24"/>
      <w:u w:val="none"/>
    </w:rPr>
  </w:style>
  <w:style w:type="character" w:styleId="25">
    <w:name w:val="Hyperlink"/>
    <w:autoRedefine/>
    <w:qFormat/>
    <w:uiPriority w:val="0"/>
    <w:rPr>
      <w:color w:val="005283"/>
      <w:sz w:val="24"/>
      <w:szCs w:val="24"/>
      <w:u w:val="none"/>
    </w:rPr>
  </w:style>
  <w:style w:type="paragraph" w:customStyle="1" w:styleId="26">
    <w:name w:val="样式 标题 1一级标题 + 段前: 0.5 行 段后: 0.5 行"/>
    <w:basedOn w:val="3"/>
    <w:autoRedefine/>
    <w:qFormat/>
    <w:uiPriority w:val="99"/>
    <w:pPr>
      <w:tabs>
        <w:tab w:val="left" w:pos="4425"/>
      </w:tabs>
      <w:spacing w:line="320" w:lineRule="exact"/>
      <w:outlineLvl w:val="9"/>
    </w:pPr>
    <w:rPr>
      <w:spacing w:val="-6"/>
      <w:sz w:val="21"/>
      <w:szCs w:val="21"/>
    </w:rPr>
  </w:style>
  <w:style w:type="paragraph" w:customStyle="1" w:styleId="27">
    <w:name w:val="_Style 4"/>
    <w:next w:val="1"/>
    <w:autoRedefine/>
    <w:qFormat/>
    <w:uiPriority w:val="1"/>
    <w:pPr>
      <w:widowControl w:val="0"/>
      <w:jc w:val="both"/>
    </w:pPr>
    <w:rPr>
      <w:rFonts w:ascii="Times New Roman" w:hAnsi="Times New Roman" w:eastAsia="仿宋_GB2312" w:cs="Times New Roman"/>
      <w:kern w:val="2"/>
      <w:sz w:val="24"/>
      <w:szCs w:val="22"/>
      <w:lang w:val="en-US" w:eastAsia="zh-CN" w:bidi="ar-SA"/>
    </w:rPr>
  </w:style>
  <w:style w:type="character" w:customStyle="1" w:styleId="28">
    <w:name w:val="标题 1 Char"/>
    <w:basedOn w:val="21"/>
    <w:link w:val="3"/>
    <w:autoRedefine/>
    <w:qFormat/>
    <w:uiPriority w:val="0"/>
    <w:rPr>
      <w:rFonts w:ascii="Times New Roman" w:hAnsi="Times New Roman"/>
      <w:b/>
      <w:kern w:val="44"/>
      <w:sz w:val="44"/>
      <w:szCs w:val="24"/>
    </w:rPr>
  </w:style>
  <w:style w:type="character" w:customStyle="1" w:styleId="29">
    <w:name w:val="font11"/>
    <w:autoRedefine/>
    <w:qFormat/>
    <w:uiPriority w:val="0"/>
    <w:rPr>
      <w:rFonts w:hint="eastAsia" w:ascii="宋体" w:hAnsi="宋体" w:eastAsia="宋体" w:cs="宋体"/>
      <w:color w:val="000000"/>
      <w:sz w:val="24"/>
      <w:szCs w:val="24"/>
      <w:u w:val="none"/>
    </w:rPr>
  </w:style>
  <w:style w:type="character" w:customStyle="1" w:styleId="30">
    <w:name w:val="NormalCharacter"/>
    <w:autoRedefine/>
    <w:qFormat/>
    <w:uiPriority w:val="0"/>
  </w:style>
  <w:style w:type="character" w:customStyle="1" w:styleId="31">
    <w:name w:val="Body text|2 + Bold"/>
    <w:autoRedefine/>
    <w:unhideWhenUsed/>
    <w:qFormat/>
    <w:uiPriority w:val="0"/>
    <w:rPr>
      <w:rFonts w:ascii="PMingLiU" w:hAnsi="PMingLiU" w:eastAsia="PMingLiU" w:cs="PMingLiU"/>
      <w:b/>
      <w:bCs/>
      <w:color w:val="000000"/>
      <w:spacing w:val="0"/>
      <w:w w:val="100"/>
      <w:position w:val="0"/>
      <w:sz w:val="28"/>
      <w:szCs w:val="28"/>
      <w:u w:val="none"/>
      <w:lang w:val="zh-CN" w:eastAsia="zh-CN" w:bidi="zh-CN"/>
    </w:rPr>
  </w:style>
  <w:style w:type="character" w:customStyle="1" w:styleId="32">
    <w:name w:val="Body text|2_"/>
    <w:link w:val="33"/>
    <w:autoRedefine/>
    <w:qFormat/>
    <w:uiPriority w:val="0"/>
    <w:rPr>
      <w:rFonts w:ascii="PMingLiU" w:hAnsi="PMingLiU" w:eastAsia="PMingLiU" w:cs="PMingLiU"/>
      <w:spacing w:val="30"/>
      <w:sz w:val="28"/>
      <w:szCs w:val="28"/>
      <w:u w:val="none"/>
    </w:rPr>
  </w:style>
  <w:style w:type="paragraph" w:customStyle="1" w:styleId="33">
    <w:name w:val="Body text|2"/>
    <w:basedOn w:val="1"/>
    <w:link w:val="32"/>
    <w:qFormat/>
    <w:uiPriority w:val="0"/>
    <w:pPr>
      <w:widowControl w:val="0"/>
      <w:shd w:val="clear" w:color="auto" w:fill="FFFFFF"/>
      <w:spacing w:before="720" w:after="1200" w:line="280" w:lineRule="exact"/>
      <w:ind w:hanging="1220"/>
      <w:jc w:val="center"/>
    </w:pPr>
    <w:rPr>
      <w:rFonts w:ascii="PMingLiU" w:hAnsi="PMingLiU" w:eastAsia="PMingLiU"/>
      <w:spacing w:val="30"/>
      <w:kern w:val="0"/>
      <w:sz w:val="28"/>
      <w:szCs w:val="28"/>
    </w:rPr>
  </w:style>
  <w:style w:type="character" w:customStyle="1" w:styleId="34">
    <w:name w:val="正文文本缩进 2 Char"/>
    <w:basedOn w:val="21"/>
    <w:link w:val="9"/>
    <w:autoRedefine/>
    <w:qFormat/>
    <w:uiPriority w:val="0"/>
    <w:rPr>
      <w:rFonts w:ascii="宋体" w:hAnsi="宋体"/>
      <w:kern w:val="2"/>
      <w:sz w:val="21"/>
    </w:rPr>
  </w:style>
  <w:style w:type="character" w:customStyle="1" w:styleId="35">
    <w:name w:val="批注框文本 Char"/>
    <w:link w:val="10"/>
    <w:autoRedefine/>
    <w:qFormat/>
    <w:uiPriority w:val="0"/>
    <w:rPr>
      <w:rFonts w:ascii="Calibri"/>
      <w:kern w:val="2"/>
      <w:sz w:val="18"/>
      <w:szCs w:val="18"/>
    </w:rPr>
  </w:style>
  <w:style w:type="character" w:customStyle="1" w:styleId="36">
    <w:name w:val="标题 Char"/>
    <w:basedOn w:val="21"/>
    <w:link w:val="16"/>
    <w:qFormat/>
    <w:uiPriority w:val="10"/>
    <w:rPr>
      <w:rFonts w:ascii="Cambria" w:hAnsi="Cambria" w:cs="Times New Roman"/>
      <w:b/>
      <w:bCs/>
      <w:kern w:val="2"/>
      <w:sz w:val="32"/>
      <w:szCs w:val="32"/>
    </w:rPr>
  </w:style>
  <w:style w:type="character" w:customStyle="1" w:styleId="37">
    <w:name w:val="日期 Char"/>
    <w:basedOn w:val="21"/>
    <w:link w:val="8"/>
    <w:qFormat/>
    <w:uiPriority w:val="0"/>
    <w:rPr>
      <w:kern w:val="2"/>
      <w:sz w:val="21"/>
      <w:szCs w:val="24"/>
    </w:rPr>
  </w:style>
  <w:style w:type="paragraph" w:customStyle="1" w:styleId="38">
    <w:name w:val="0正文"/>
    <w:basedOn w:val="7"/>
    <w:next w:val="12"/>
    <w:qFormat/>
    <w:uiPriority w:val="0"/>
    <w:pPr>
      <w:spacing w:line="360" w:lineRule="auto"/>
      <w:ind w:firstLine="720" w:firstLineChars="200"/>
    </w:pPr>
    <w:rPr>
      <w:sz w:val="24"/>
      <w:szCs w:val="22"/>
    </w:rPr>
  </w:style>
  <w:style w:type="paragraph" w:customStyle="1" w:styleId="39">
    <w:name w:val="p0"/>
    <w:basedOn w:val="1"/>
    <w:autoRedefine/>
    <w:qFormat/>
    <w:uiPriority w:val="0"/>
    <w:pPr>
      <w:widowControl/>
    </w:pPr>
    <w:rPr>
      <w:szCs w:val="20"/>
    </w:rPr>
  </w:style>
  <w:style w:type="paragraph" w:customStyle="1" w:styleId="40">
    <w:name w:val="文本正文"/>
    <w:basedOn w:val="1"/>
    <w:autoRedefine/>
    <w:qFormat/>
    <w:uiPriority w:val="0"/>
    <w:pPr>
      <w:spacing w:after="0" w:line="600" w:lineRule="exact"/>
      <w:ind w:firstLine="640" w:firstLineChars="200"/>
    </w:pPr>
    <w:rPr>
      <w:rFonts w:ascii="Calibri" w:hAnsi="Calibri" w:eastAsia="宋体" w:cs="Times New Roman"/>
      <w:sz w:val="24"/>
      <w:szCs w:val="24"/>
      <w:lang w:eastAsia="en-US" w:bidi="en-US"/>
    </w:rPr>
  </w:style>
  <w:style w:type="paragraph" w:customStyle="1" w:styleId="41">
    <w:name w:val="列出段落1"/>
    <w:basedOn w:val="1"/>
    <w:autoRedefine/>
    <w:qFormat/>
    <w:uiPriority w:val="34"/>
    <w:pPr>
      <w:ind w:firstLine="420" w:firstLineChars="200"/>
    </w:pPr>
    <w:rPr>
      <w:rFonts w:cs="宋体"/>
      <w:szCs w:val="22"/>
    </w:rPr>
  </w:style>
  <w:style w:type="paragraph" w:styleId="42">
    <w:name w:val="List Paragraph"/>
    <w:basedOn w:val="1"/>
    <w:qFormat/>
    <w:uiPriority w:val="34"/>
    <w:pPr>
      <w:ind w:firstLine="420" w:firstLineChars="200"/>
    </w:pPr>
    <w:rPr>
      <w:rFonts w:ascii="Calibri" w:hAnsi="Calibri" w:eastAsia="宋体" w:cs="Times New Roman"/>
      <w:szCs w:val="22"/>
    </w:rPr>
  </w:style>
  <w:style w:type="paragraph" w:customStyle="1" w:styleId="43">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a正文"/>
    <w:basedOn w:val="1"/>
    <w:autoRedefine/>
    <w:qFormat/>
    <w:uiPriority w:val="0"/>
    <w:pPr>
      <w:widowControl w:val="0"/>
      <w:spacing w:line="360" w:lineRule="auto"/>
      <w:ind w:firstLine="200" w:firstLineChars="200"/>
      <w:jc w:val="both"/>
    </w:pPr>
    <w:rPr>
      <w:rFonts w:asciiTheme="minorHAnsi" w:hAnsiTheme="minorHAnsi" w:eastAsiaTheme="minorEastAsia" w:cstheme="minorBidi"/>
      <w:kern w:val="2"/>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2322</Words>
  <Characters>2482</Characters>
  <Lines>20</Lines>
  <Paragraphs>5</Paragraphs>
  <TotalTime>0</TotalTime>
  <ScaleCrop>false</ScaleCrop>
  <LinksUpToDate>false</LinksUpToDate>
  <CharactersWithSpaces>2540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2019-09-30T01:27:00Z</dcterms:created>
  <dc:creator>Administrator</dc:creator>
  <cp:lastModifiedBy>电话本</cp:lastModifiedBy>
  <cp:lastPrinted>2023-03-14T04:46:00Z</cp:lastPrinted>
  <dcterms:modified xsi:type="dcterms:W3CDTF">2024-05-06T00:41:50Z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A118E5F3C3D6420C83473877101F32D8_13</vt:lpwstr>
  </property>
</Properties>
</file>