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_GB2312" w:hAnsi="宋体" w:eastAsia="仿宋_GB2312" w:cs="黑体"/>
          <w:b/>
          <w:bCs/>
          <w:spacing w:val="20"/>
          <w:w w:val="105"/>
          <w:sz w:val="32"/>
          <w:szCs w:val="32"/>
          <w:lang w:eastAsia="zh-CN"/>
        </w:rPr>
      </w:pPr>
      <w:r>
        <w:rPr>
          <w:rFonts w:hint="eastAsia" w:ascii="仿宋_GB2312" w:hAnsi="宋体" w:eastAsia="仿宋_GB2312" w:cs="黑体"/>
          <w:b/>
          <w:bCs/>
          <w:spacing w:val="20"/>
          <w:w w:val="105"/>
          <w:sz w:val="32"/>
          <w:szCs w:val="32"/>
        </w:rPr>
        <w:t>202</w:t>
      </w:r>
      <w:r>
        <w:rPr>
          <w:rFonts w:hint="eastAsia" w:ascii="仿宋_GB2312" w:hAnsi="宋体" w:eastAsia="仿宋_GB2312" w:cs="黑体"/>
          <w:b/>
          <w:bCs/>
          <w:spacing w:val="20"/>
          <w:w w:val="105"/>
          <w:sz w:val="32"/>
          <w:szCs w:val="32"/>
          <w:lang w:val="en-US" w:eastAsia="zh-CN"/>
        </w:rPr>
        <w:t>4</w:t>
      </w:r>
      <w:r>
        <w:rPr>
          <w:rFonts w:hint="eastAsia" w:ascii="仿宋_GB2312" w:hAnsi="宋体" w:eastAsia="仿宋_GB2312" w:cs="黑体"/>
          <w:b/>
          <w:bCs/>
          <w:spacing w:val="20"/>
          <w:w w:val="105"/>
          <w:sz w:val="32"/>
          <w:szCs w:val="32"/>
        </w:rPr>
        <w:t>年盘锦市</w:t>
      </w:r>
      <w:r>
        <w:rPr>
          <w:rFonts w:hint="eastAsia" w:ascii="仿宋_GB2312" w:hAnsi="宋体" w:eastAsia="仿宋_GB2312" w:cs="黑体"/>
          <w:b/>
          <w:bCs/>
          <w:spacing w:val="20"/>
          <w:w w:val="105"/>
          <w:sz w:val="32"/>
          <w:szCs w:val="32"/>
          <w:lang w:eastAsia="zh-CN"/>
        </w:rPr>
        <w:t>燃气用具连接用软管</w:t>
      </w:r>
    </w:p>
    <w:p>
      <w:pPr>
        <w:jc w:val="center"/>
        <w:rPr>
          <w:rFonts w:ascii="仿宋_GB2312" w:hAnsi="宋体" w:eastAsia="仿宋_GB2312" w:cs="黑体"/>
          <w:b/>
          <w:bCs/>
          <w:spacing w:val="20"/>
          <w:w w:val="105"/>
          <w:sz w:val="32"/>
          <w:szCs w:val="32"/>
        </w:rPr>
      </w:pPr>
      <w:r>
        <w:rPr>
          <w:rFonts w:hint="eastAsia" w:ascii="仿宋_GB2312" w:hAnsi="宋体" w:eastAsia="仿宋_GB2312" w:cs="黑体"/>
          <w:b/>
          <w:bCs/>
          <w:spacing w:val="20"/>
          <w:w w:val="105"/>
          <w:sz w:val="32"/>
          <w:szCs w:val="32"/>
        </w:rPr>
        <w:t>产品质量监督</w:t>
      </w:r>
      <w:bookmarkStart w:id="0" w:name="_GoBack"/>
      <w:bookmarkEnd w:id="0"/>
      <w:r>
        <w:rPr>
          <w:rFonts w:hint="eastAsia" w:ascii="仿宋_GB2312" w:hAnsi="宋体" w:eastAsia="仿宋_GB2312" w:cs="黑体"/>
          <w:b/>
          <w:bCs/>
          <w:spacing w:val="20"/>
          <w:w w:val="105"/>
          <w:sz w:val="32"/>
          <w:szCs w:val="32"/>
        </w:rPr>
        <w:t>抽查实施细则</w:t>
      </w:r>
    </w:p>
    <w:p>
      <w:pPr>
        <w:adjustRightInd w:val="0"/>
        <w:snapToGrid w:val="0"/>
        <w:spacing w:line="594" w:lineRule="exact"/>
        <w:ind w:firstLine="562" w:firstLineChars="200"/>
        <w:rPr>
          <w:rFonts w:hint="eastAsia" w:ascii="仿宋_GB2312" w:hAnsi="宋体" w:eastAsia="仿宋_GB2312"/>
          <w:b/>
          <w:sz w:val="28"/>
          <w:szCs w:val="28"/>
        </w:rPr>
      </w:pP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1适用范围</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本细则适用于盘锦市</w:t>
      </w:r>
      <w:r>
        <w:rPr>
          <w:rFonts w:hint="eastAsia" w:ascii="仿宋_GB2312" w:hAnsi="宋体" w:eastAsia="仿宋_GB2312"/>
          <w:sz w:val="28"/>
          <w:szCs w:val="28"/>
          <w:lang w:eastAsia="zh-CN"/>
        </w:rPr>
        <w:t>燃气用具连接用软管</w:t>
      </w:r>
      <w:r>
        <w:rPr>
          <w:rFonts w:hint="eastAsia" w:ascii="仿宋_GB2312" w:hAnsi="宋体" w:eastAsia="仿宋_GB2312"/>
          <w:sz w:val="28"/>
          <w:szCs w:val="28"/>
        </w:rPr>
        <w:t>产品质量监督抽查。</w:t>
      </w:r>
      <w:r>
        <w:rPr>
          <w:rFonts w:hint="eastAsia" w:ascii="仿宋_GB2312" w:eastAsia="仿宋_GB2312"/>
          <w:sz w:val="28"/>
          <w:szCs w:val="28"/>
        </w:rPr>
        <w:t>本细则内容包括产品分类、术语和定义、生产企业规模划分、检验依据、抽样、检验要求、判定原则、异议处理。</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2 产品分类、术语和定义</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2.1 产品分类及代码，见表1。</w:t>
      </w:r>
    </w:p>
    <w:p>
      <w:pPr>
        <w:adjustRightInd w:val="0"/>
        <w:snapToGrid w:val="0"/>
        <w:spacing w:line="594" w:lineRule="exact"/>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表1 产品分类及代码</w:t>
      </w:r>
    </w:p>
    <w:tbl>
      <w:tblPr>
        <w:tblStyle w:val="8"/>
        <w:tblW w:w="88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66"/>
        <w:gridCol w:w="1766"/>
        <w:gridCol w:w="1767"/>
        <w:gridCol w:w="1767"/>
        <w:gridCol w:w="17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66"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ascii="宋体" w:hAnsi="宋体" w:cs="宋体"/>
                <w:bCs/>
                <w:kern w:val="0"/>
                <w:szCs w:val="21"/>
              </w:rPr>
            </w:pPr>
            <w:r>
              <w:rPr>
                <w:rFonts w:hint="eastAsia" w:ascii="宋体" w:hAnsi="宋体" w:cs="宋体"/>
                <w:bCs/>
                <w:kern w:val="0"/>
                <w:szCs w:val="21"/>
              </w:rPr>
              <w:t>产品分类</w:t>
            </w:r>
          </w:p>
        </w:tc>
        <w:tc>
          <w:tcPr>
            <w:tcW w:w="1766"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ascii="宋体" w:hAnsi="宋体" w:cs="宋体"/>
                <w:kern w:val="0"/>
                <w:szCs w:val="21"/>
              </w:rPr>
            </w:pPr>
            <w:r>
              <w:rPr>
                <w:rFonts w:hint="eastAsia" w:ascii="宋体" w:hAnsi="宋体" w:cs="宋体"/>
                <w:kern w:val="0"/>
                <w:szCs w:val="21"/>
              </w:rPr>
              <w:t>一级分类</w:t>
            </w:r>
          </w:p>
        </w:tc>
        <w:tc>
          <w:tcPr>
            <w:tcW w:w="1767"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ascii="宋体" w:hAnsi="宋体" w:cs="宋体"/>
                <w:kern w:val="0"/>
                <w:szCs w:val="21"/>
              </w:rPr>
            </w:pPr>
            <w:r>
              <w:rPr>
                <w:rFonts w:hint="eastAsia" w:ascii="宋体" w:hAnsi="宋体" w:cs="宋体"/>
                <w:kern w:val="0"/>
                <w:szCs w:val="21"/>
              </w:rPr>
              <w:t>二级分类</w:t>
            </w:r>
          </w:p>
        </w:tc>
        <w:tc>
          <w:tcPr>
            <w:tcW w:w="1767"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产品名称及编码</w:t>
            </w:r>
          </w:p>
        </w:tc>
        <w:tc>
          <w:tcPr>
            <w:tcW w:w="1767"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hint="default" w:ascii="宋体" w:hAnsi="宋体" w:cs="宋体"/>
                <w:kern w:val="0"/>
                <w:szCs w:val="21"/>
                <w:lang w:val="en-US" w:eastAsia="zh-CN"/>
              </w:rPr>
            </w:pPr>
            <w:r>
              <w:rPr>
                <w:rFonts w:hint="eastAsia" w:ascii="宋体" w:hAnsi="宋体" w:cs="宋体"/>
                <w:kern w:val="0"/>
                <w:szCs w:val="21"/>
                <w:lang w:val="en-US" w:eastAsia="zh-CN"/>
              </w:rPr>
              <w:t>属性编码及名称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66"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ascii="宋体" w:hAnsi="宋体" w:cs="宋体"/>
                <w:bCs/>
                <w:kern w:val="0"/>
                <w:szCs w:val="21"/>
              </w:rPr>
            </w:pPr>
            <w:r>
              <w:rPr>
                <w:rFonts w:hint="eastAsia" w:ascii="宋体" w:hAnsi="宋体" w:cs="宋体"/>
                <w:bCs/>
                <w:kern w:val="0"/>
                <w:szCs w:val="21"/>
              </w:rPr>
              <w:t>分类代码</w:t>
            </w:r>
          </w:p>
        </w:tc>
        <w:tc>
          <w:tcPr>
            <w:tcW w:w="1766"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eastAsia" w:ascii="宋体" w:hAnsi="宋体" w:eastAsia="宋体" w:cs="宋体"/>
                <w:kern w:val="0"/>
                <w:szCs w:val="21"/>
                <w:lang w:eastAsia="zh-CN"/>
              </w:rPr>
            </w:pPr>
            <w:r>
              <w:rPr>
                <w:rFonts w:hint="eastAsia" w:ascii="宋体" w:hAnsi="宋体" w:cs="宋体"/>
                <w:szCs w:val="21"/>
                <w:lang w:val="en-US" w:eastAsia="zh-CN"/>
              </w:rPr>
              <w:t>07</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default" w:ascii="宋体" w:hAnsi="宋体" w:eastAsia="宋体" w:cs="宋体"/>
                <w:kern w:val="0"/>
                <w:szCs w:val="21"/>
                <w:lang w:val="en-US" w:eastAsia="zh-CN"/>
              </w:rPr>
            </w:pPr>
            <w:r>
              <w:rPr>
                <w:rFonts w:hint="eastAsia" w:ascii="宋体" w:hAnsi="宋体" w:cs="宋体"/>
                <w:szCs w:val="21"/>
                <w:lang w:val="en-US" w:eastAsia="zh-CN"/>
              </w:rPr>
              <w:t>14</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33</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default" w:ascii="宋体" w:hAnsi="宋体" w:cs="宋体"/>
                <w:kern w:val="0"/>
                <w:szCs w:val="21"/>
                <w:lang w:val="en-US" w:eastAsia="zh-CN"/>
              </w:rPr>
            </w:pPr>
            <w:r>
              <w:rPr>
                <w:rFonts w:hint="eastAsia" w:ascii="宋体" w:hAnsi="宋体" w:cs="宋体"/>
                <w:kern w:val="0"/>
                <w:szCs w:val="21"/>
                <w:lang w:val="en-US" w:eastAsia="zh-CN"/>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66"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ascii="宋体" w:hAnsi="宋体" w:cs="宋体"/>
                <w:bCs/>
                <w:kern w:val="0"/>
                <w:szCs w:val="21"/>
              </w:rPr>
            </w:pPr>
            <w:r>
              <w:rPr>
                <w:rFonts w:hint="eastAsia" w:ascii="宋体" w:hAnsi="宋体" w:cs="宋体"/>
                <w:bCs/>
                <w:kern w:val="0"/>
                <w:szCs w:val="21"/>
              </w:rPr>
              <w:t>分类名称</w:t>
            </w:r>
          </w:p>
        </w:tc>
        <w:tc>
          <w:tcPr>
            <w:tcW w:w="1766"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ascii="宋体" w:hAnsi="宋体" w:cs="宋体"/>
                <w:kern w:val="0"/>
                <w:szCs w:val="21"/>
              </w:rPr>
            </w:pPr>
            <w:r>
              <w:rPr>
                <w:rFonts w:hint="eastAsia" w:ascii="宋体" w:hAnsi="宋体" w:eastAsia="宋体" w:cs="宋体"/>
                <w:szCs w:val="21"/>
              </w:rPr>
              <w:t>电工及材料</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ascii="宋体" w:hAnsi="宋体" w:cs="宋体"/>
                <w:kern w:val="0"/>
                <w:szCs w:val="21"/>
              </w:rPr>
            </w:pPr>
            <w:r>
              <w:rPr>
                <w:rFonts w:hint="eastAsia" w:ascii="宋体" w:hAnsi="宋体" w:eastAsia="宋体" w:cs="宋体"/>
                <w:szCs w:val="21"/>
              </w:rPr>
              <w:t>非金属材料</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橡胶软管和软管组合件</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eastAsia" w:ascii="宋体" w:hAnsi="宋体" w:eastAsia="宋体" w:cs="宋体"/>
                <w:kern w:val="0"/>
                <w:szCs w:val="21"/>
                <w:lang w:val="en-US" w:eastAsia="zh-CN"/>
              </w:rPr>
            </w:pPr>
            <w:r>
              <w:rPr>
                <w:rFonts w:hint="eastAsia"/>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66"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hint="eastAsia" w:ascii="宋体" w:hAnsi="宋体" w:cs="宋体"/>
                <w:bCs/>
                <w:kern w:val="0"/>
                <w:szCs w:val="21"/>
              </w:rPr>
            </w:pPr>
            <w:r>
              <w:rPr>
                <w:rFonts w:hint="eastAsia" w:ascii="宋体" w:hAnsi="宋体" w:cs="宋体"/>
                <w:bCs/>
                <w:kern w:val="0"/>
                <w:szCs w:val="21"/>
              </w:rPr>
              <w:t>分类代码</w:t>
            </w:r>
          </w:p>
        </w:tc>
        <w:tc>
          <w:tcPr>
            <w:tcW w:w="1766"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default" w:ascii="宋体" w:hAnsi="宋体" w:eastAsia="宋体" w:cs="宋体"/>
                <w:szCs w:val="21"/>
                <w:lang w:val="en-US" w:eastAsia="zh-CN"/>
              </w:rPr>
            </w:pPr>
            <w:r>
              <w:rPr>
                <w:rFonts w:hint="eastAsia" w:ascii="宋体" w:hAnsi="宋体" w:cs="宋体"/>
                <w:szCs w:val="21"/>
                <w:lang w:val="en-US" w:eastAsia="zh-CN"/>
              </w:rPr>
              <w:t>03</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default" w:ascii="宋体" w:hAnsi="宋体" w:eastAsia="宋体" w:cs="宋体"/>
                <w:szCs w:val="21"/>
                <w:lang w:val="en-US" w:eastAsia="zh-CN"/>
              </w:rPr>
            </w:pPr>
            <w:r>
              <w:rPr>
                <w:rFonts w:hint="eastAsia" w:ascii="宋体" w:hAnsi="宋体" w:cs="宋体"/>
                <w:szCs w:val="21"/>
                <w:lang w:val="en-US" w:eastAsia="zh-CN"/>
              </w:rPr>
              <w:t>07</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default" w:ascii="宋体" w:hAnsi="宋体" w:cs="宋体"/>
                <w:kern w:val="0"/>
                <w:szCs w:val="21"/>
                <w:lang w:val="en-US" w:eastAsia="zh-CN"/>
              </w:rPr>
            </w:pPr>
            <w:r>
              <w:rPr>
                <w:rFonts w:hint="eastAsia" w:ascii="宋体" w:hAnsi="宋体" w:cs="宋体"/>
                <w:kern w:val="0"/>
                <w:szCs w:val="21"/>
                <w:lang w:val="en-US" w:eastAsia="zh-CN"/>
              </w:rPr>
              <w:t>06</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eastAsia"/>
                <w:lang w:val="en-US" w:eastAsia="zh-CN"/>
              </w:rPr>
            </w:pPr>
            <w:r>
              <w:rPr>
                <w:rFonts w:hint="eastAsia" w:ascii="宋体" w:hAnsi="宋体" w:cs="宋体"/>
                <w:kern w:val="0"/>
                <w:szCs w:val="21"/>
                <w:lang w:val="en-US" w:eastAsia="zh-CN"/>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66"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hint="eastAsia" w:ascii="宋体" w:hAnsi="宋体" w:cs="宋体"/>
                <w:bCs/>
                <w:kern w:val="0"/>
                <w:szCs w:val="21"/>
              </w:rPr>
            </w:pPr>
            <w:r>
              <w:rPr>
                <w:rFonts w:hint="eastAsia" w:ascii="宋体" w:hAnsi="宋体" w:cs="宋体"/>
                <w:bCs/>
                <w:kern w:val="0"/>
                <w:szCs w:val="21"/>
              </w:rPr>
              <w:t>分类名称</w:t>
            </w:r>
          </w:p>
        </w:tc>
        <w:tc>
          <w:tcPr>
            <w:tcW w:w="1766"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eastAsia" w:ascii="宋体" w:hAnsi="宋体" w:eastAsia="宋体" w:cs="宋体"/>
                <w:szCs w:val="21"/>
              </w:rPr>
            </w:pPr>
            <w:r>
              <w:rPr>
                <w:rFonts w:hint="eastAsia" w:ascii="宋体" w:hAnsi="宋体" w:eastAsia="宋体" w:cs="宋体"/>
                <w:szCs w:val="21"/>
              </w:rPr>
              <w:t>轻工产品</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eastAsia" w:ascii="宋体" w:hAnsi="宋体" w:eastAsia="宋体" w:cs="宋体"/>
                <w:szCs w:val="21"/>
              </w:rPr>
            </w:pPr>
            <w:r>
              <w:rPr>
                <w:rFonts w:hint="eastAsia" w:ascii="宋体" w:hAnsi="宋体" w:eastAsia="宋体" w:cs="宋体"/>
                <w:szCs w:val="21"/>
              </w:rPr>
              <w:t>燃气用具</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eastAsia" w:ascii="宋体" w:hAnsi="宋体" w:cs="宋体"/>
                <w:kern w:val="0"/>
                <w:szCs w:val="21"/>
                <w:lang w:val="en-US" w:eastAsia="zh-CN"/>
              </w:rPr>
            </w:pPr>
            <w:r>
              <w:rPr>
                <w:rFonts w:hint="eastAsia" w:ascii="宋体" w:hAnsi="宋体" w:cs="宋体"/>
                <w:kern w:val="0"/>
                <w:szCs w:val="21"/>
                <w:lang w:val="en-US" w:eastAsia="zh-CN"/>
              </w:rPr>
              <w:t>燃气用不锈钢波纹软管</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eastAsia"/>
                <w:lang w:val="en-US" w:eastAsia="zh-CN"/>
              </w:rPr>
            </w:pPr>
            <w:r>
              <w:rPr>
                <w:rFonts w:hint="eastAsia"/>
                <w:lang w:val="en-US" w:eastAsia="zh-CN"/>
              </w:rPr>
              <w:t>/</w:t>
            </w:r>
          </w:p>
        </w:tc>
      </w:tr>
    </w:tbl>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2.2产品种类</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本细则涉及产品种类</w:t>
      </w:r>
      <w:r>
        <w:rPr>
          <w:rFonts w:hint="eastAsia" w:ascii="仿宋_GB2312" w:hAnsi="宋体" w:eastAsia="仿宋_GB2312" w:cs="Times New Roman"/>
          <w:sz w:val="28"/>
          <w:szCs w:val="28"/>
        </w:rPr>
        <w:t>：</w:t>
      </w:r>
      <w:r>
        <w:rPr>
          <w:rFonts w:hint="eastAsia" w:ascii="仿宋_GB2312" w:hAnsi="宋体" w:eastAsia="仿宋_GB2312" w:cs="Times New Roman"/>
          <w:sz w:val="28"/>
          <w:szCs w:val="28"/>
          <w:lang w:val="en-US" w:eastAsia="zh-CN"/>
        </w:rPr>
        <w:t>家用燃气用橡胶和塑料软管、燃气用具连接用金属包覆软管、燃气用具连接用</w:t>
      </w:r>
      <w:r>
        <w:rPr>
          <w:rFonts w:hint="eastAsia" w:ascii="仿宋_GB2312" w:hAnsi="宋体" w:eastAsia="仿宋_GB2312" w:cs="Times New Roman"/>
          <w:sz w:val="28"/>
          <w:szCs w:val="28"/>
        </w:rPr>
        <w:t>。</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2.3术语和定义</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本细则中所使用的术语和定义同相关引用标准。</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3 生产企业规模划分</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根据国家统计局印发的相关管理办法，确定企业规模。</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4 检验依据</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凡是注明日期的文件，其随后所有的修改单（不包括勘误内容）或修订版均不适用于本细则。凡是不注明日期的文件，其最新版本适用于本细则。</w:t>
      </w:r>
    </w:p>
    <w:p>
      <w:pPr>
        <w:adjustRightInd w:val="0"/>
        <w:snapToGrid w:val="0"/>
        <w:spacing w:line="594" w:lineRule="exact"/>
        <w:ind w:firstLine="560" w:firstLineChars="200"/>
        <w:rPr>
          <w:rFonts w:hint="eastAsia" w:ascii="仿宋_GB2312" w:hAnsi="宋体" w:eastAsia="仿宋_GB2312"/>
          <w:sz w:val="28"/>
          <w:szCs w:val="28"/>
          <w:lang w:val="en-US" w:eastAsia="zh-CN"/>
        </w:rPr>
      </w:pPr>
      <w:r>
        <w:rPr>
          <w:rFonts w:hint="eastAsia" w:ascii="仿宋_GB2312" w:hAnsi="宋体" w:eastAsia="仿宋_GB2312"/>
          <w:sz w:val="28"/>
          <w:szCs w:val="28"/>
        </w:rPr>
        <w:t>GB 29993-2013</w:t>
      </w:r>
      <w:r>
        <w:rPr>
          <w:rFonts w:hint="eastAsia" w:ascii="仿宋_GB2312" w:hAnsi="宋体" w:eastAsia="仿宋_GB2312"/>
          <w:sz w:val="28"/>
          <w:szCs w:val="28"/>
          <w:lang w:val="en-US" w:eastAsia="zh-CN"/>
        </w:rPr>
        <w:t xml:space="preserve"> 家用燃气用橡胶和塑料软管及软管组合件技术条件和评价方法</w:t>
      </w:r>
    </w:p>
    <w:p>
      <w:pPr>
        <w:adjustRightInd w:val="0"/>
        <w:snapToGrid w:val="0"/>
        <w:spacing w:line="594" w:lineRule="exact"/>
        <w:ind w:firstLine="560" w:firstLineChars="200"/>
        <w:rPr>
          <w:rFonts w:hint="eastAsia" w:ascii="仿宋_GB2312" w:hAnsi="宋体" w:eastAsia="仿宋_GB2312"/>
          <w:sz w:val="28"/>
          <w:szCs w:val="28"/>
          <w:highlight w:val="none"/>
          <w:lang w:val="en-US" w:eastAsia="zh-CN"/>
        </w:rPr>
      </w:pPr>
      <w:r>
        <w:rPr>
          <w:rFonts w:hint="eastAsia" w:ascii="仿宋_GB2312" w:hAnsi="宋体" w:eastAsia="仿宋_GB2312"/>
          <w:sz w:val="28"/>
          <w:szCs w:val="28"/>
          <w:highlight w:val="none"/>
        </w:rPr>
        <w:t>CJ/T 490-2016</w:t>
      </w:r>
      <w:r>
        <w:rPr>
          <w:rFonts w:hint="eastAsia" w:ascii="仿宋_GB2312" w:hAnsi="宋体" w:eastAsia="仿宋_GB2312"/>
          <w:sz w:val="28"/>
          <w:szCs w:val="28"/>
          <w:highlight w:val="none"/>
          <w:lang w:val="en-US" w:eastAsia="zh-CN"/>
        </w:rPr>
        <w:t xml:space="preserve"> 燃气用具连接用金属包覆软管</w:t>
      </w:r>
    </w:p>
    <w:p>
      <w:pPr>
        <w:adjustRightInd w:val="0"/>
        <w:snapToGrid w:val="0"/>
        <w:spacing w:line="594" w:lineRule="exact"/>
        <w:ind w:firstLine="560" w:firstLineChars="200"/>
        <w:rPr>
          <w:rFonts w:hint="eastAsia" w:ascii="仿宋_GB2312" w:hAnsi="宋体" w:eastAsia="仿宋_GB2312"/>
          <w:sz w:val="28"/>
          <w:szCs w:val="28"/>
          <w:highlight w:val="none"/>
          <w:lang w:val="en-US" w:eastAsia="zh-CN"/>
        </w:rPr>
      </w:pPr>
      <w:r>
        <w:rPr>
          <w:rFonts w:hint="eastAsia" w:ascii="仿宋_GB2312" w:hAnsi="宋体" w:eastAsia="仿宋_GB2312"/>
          <w:sz w:val="28"/>
          <w:szCs w:val="28"/>
          <w:highlight w:val="none"/>
        </w:rPr>
        <w:t>CJ/T 197-2010</w:t>
      </w:r>
      <w:r>
        <w:rPr>
          <w:rFonts w:hint="eastAsia" w:ascii="仿宋_GB2312" w:hAnsi="宋体" w:eastAsia="仿宋_GB2312"/>
          <w:sz w:val="28"/>
          <w:szCs w:val="28"/>
          <w:highlight w:val="none"/>
          <w:lang w:val="en-US" w:eastAsia="zh-CN"/>
        </w:rPr>
        <w:t xml:space="preserve"> 燃气用具连接用不锈钢波纹软管</w:t>
      </w:r>
    </w:p>
    <w:p>
      <w:pPr>
        <w:adjustRightInd w:val="0"/>
        <w:snapToGrid w:val="0"/>
        <w:spacing w:line="594" w:lineRule="exact"/>
        <w:ind w:firstLine="560" w:firstLineChars="200"/>
        <w:rPr>
          <w:rFonts w:hint="eastAsia" w:ascii="仿宋_GB2312" w:hAnsi="宋体" w:eastAsia="仿宋_GB2312"/>
          <w:sz w:val="28"/>
          <w:szCs w:val="28"/>
          <w:highlight w:val="none"/>
        </w:rPr>
      </w:pPr>
      <w:r>
        <w:rPr>
          <w:rFonts w:hint="eastAsia" w:ascii="仿宋_GB2312" w:hAnsi="宋体" w:eastAsia="仿宋_GB2312"/>
          <w:sz w:val="28"/>
          <w:szCs w:val="28"/>
          <w:highlight w:val="none"/>
        </w:rPr>
        <w:t>GB/T 41317-2022燃气用具连接用不锈钢波纹软管</w:t>
      </w:r>
    </w:p>
    <w:p>
      <w:pPr>
        <w:adjustRightInd w:val="0"/>
        <w:snapToGrid w:val="0"/>
        <w:spacing w:line="594" w:lineRule="exact"/>
        <w:ind w:firstLine="560" w:firstLineChars="200"/>
        <w:rPr>
          <w:rFonts w:hint="eastAsia" w:ascii="仿宋_GB2312" w:hAnsi="宋体" w:eastAsia="仿宋_GB2312"/>
          <w:sz w:val="28"/>
          <w:szCs w:val="28"/>
          <w:highlight w:val="none"/>
        </w:rPr>
      </w:pPr>
      <w:r>
        <w:rPr>
          <w:rFonts w:hint="eastAsia" w:ascii="仿宋_GB2312" w:hAnsi="宋体" w:eastAsia="仿宋_GB2312"/>
          <w:sz w:val="28"/>
          <w:szCs w:val="28"/>
          <w:highlight w:val="none"/>
        </w:rPr>
        <w:t>相关的法律、行政法规、部门规章、规范性文件</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highlight w:val="none"/>
        </w:rPr>
        <w:t>现行有效的企业标准、团体标准、地方标准及产品明示质量要求</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5 抽样</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5.1 抽样</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在市场待销产品中随机抽取</w:t>
      </w:r>
      <w:r>
        <w:rPr>
          <w:rFonts w:hint="eastAsia" w:ascii="仿宋_GB2312" w:hAnsi="宋体" w:eastAsia="仿宋_GB2312"/>
          <w:sz w:val="28"/>
          <w:szCs w:val="28"/>
          <w:lang w:val="en-US" w:eastAsia="zh-CN"/>
        </w:rPr>
        <w:t>同一生产厂家按照同一标准</w:t>
      </w:r>
      <w:r>
        <w:rPr>
          <w:rFonts w:hint="eastAsia" w:ascii="仿宋_GB2312" w:hAnsi="宋体" w:eastAsia="仿宋_GB2312"/>
          <w:sz w:val="28"/>
          <w:szCs w:val="28"/>
        </w:rPr>
        <w:t>生产的、同一</w:t>
      </w:r>
      <w:r>
        <w:rPr>
          <w:rFonts w:hint="eastAsia" w:ascii="仿宋_GB2312" w:hAnsi="宋体" w:eastAsia="仿宋_GB2312"/>
          <w:sz w:val="28"/>
          <w:szCs w:val="28"/>
          <w:lang w:val="en-US" w:eastAsia="zh-CN"/>
        </w:rPr>
        <w:t>品牌</w:t>
      </w:r>
      <w:r>
        <w:rPr>
          <w:rFonts w:hint="eastAsia" w:ascii="仿宋_GB2312" w:hAnsi="宋体" w:eastAsia="仿宋_GB2312"/>
          <w:sz w:val="28"/>
          <w:szCs w:val="28"/>
          <w:lang w:eastAsia="zh-CN"/>
        </w:rPr>
        <w:t>、</w:t>
      </w:r>
      <w:r>
        <w:rPr>
          <w:rFonts w:hint="eastAsia" w:ascii="仿宋_GB2312" w:hAnsi="宋体" w:eastAsia="仿宋_GB2312"/>
          <w:sz w:val="28"/>
          <w:szCs w:val="28"/>
        </w:rPr>
        <w:t>同一规格型号，并有产品质量检验合格证明或者以其他形式表明合格的产品。</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5.2 抽样基数及数量</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5.2.</w:t>
      </w:r>
      <w:r>
        <w:rPr>
          <w:rFonts w:hint="eastAsia" w:ascii="仿宋_GB2312" w:hAnsi="宋体" w:eastAsia="仿宋_GB2312"/>
          <w:sz w:val="28"/>
          <w:szCs w:val="28"/>
          <w:lang w:val="en-US" w:eastAsia="zh-CN"/>
        </w:rPr>
        <w:t>1</w:t>
      </w:r>
      <w:r>
        <w:rPr>
          <w:rFonts w:hint="eastAsia" w:ascii="仿宋_GB2312" w:hAnsi="宋体" w:eastAsia="仿宋_GB2312"/>
          <w:sz w:val="28"/>
          <w:szCs w:val="28"/>
        </w:rPr>
        <w:t>抽样基数</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抽样基数满足抽样数量即可。</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5.2.</w:t>
      </w:r>
      <w:r>
        <w:rPr>
          <w:rFonts w:hint="eastAsia" w:ascii="仿宋_GB2312" w:hAnsi="宋体" w:eastAsia="仿宋_GB2312"/>
          <w:sz w:val="28"/>
          <w:szCs w:val="28"/>
          <w:lang w:val="en-US" w:eastAsia="zh-CN"/>
        </w:rPr>
        <w:t>2</w:t>
      </w:r>
      <w:r>
        <w:rPr>
          <w:rFonts w:hint="eastAsia" w:ascii="仿宋_GB2312" w:hAnsi="宋体" w:eastAsia="仿宋_GB2312"/>
          <w:sz w:val="28"/>
          <w:szCs w:val="28"/>
        </w:rPr>
        <w:t xml:space="preserve"> 抽样数量</w:t>
      </w:r>
    </w:p>
    <w:p>
      <w:pPr>
        <w:adjustRightInd w:val="0"/>
        <w:snapToGrid w:val="0"/>
        <w:spacing w:line="594" w:lineRule="exact"/>
        <w:ind w:firstLine="560" w:firstLineChars="200"/>
        <w:jc w:val="center"/>
        <w:rPr>
          <w:rFonts w:hint="eastAsia" w:ascii="仿宋_GB2312" w:hAnsi="宋体" w:eastAsia="仿宋_GB2312" w:cs="Times New Roman"/>
          <w:sz w:val="28"/>
          <w:szCs w:val="28"/>
        </w:rPr>
      </w:pPr>
      <w:r>
        <w:rPr>
          <w:rFonts w:hint="eastAsia" w:ascii="仿宋_GB2312" w:hAnsi="宋体" w:eastAsia="仿宋_GB2312" w:cs="Times New Roman"/>
          <w:sz w:val="28"/>
          <w:szCs w:val="28"/>
        </w:rPr>
        <w:t>表2 抽样数量</w:t>
      </w:r>
    </w:p>
    <w:tbl>
      <w:tblPr>
        <w:tblStyle w:val="7"/>
        <w:tblW w:w="83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6"/>
        <w:gridCol w:w="3087"/>
        <w:gridCol w:w="43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966" w:type="dxa"/>
            <w:shd w:val="clear" w:color="auto" w:fill="auto"/>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eastAsia" w:ascii="仿宋" w:hAnsi="仿宋" w:eastAsia="仿宋" w:cs="仿宋"/>
                <w:sz w:val="24"/>
                <w:szCs w:val="24"/>
              </w:rPr>
            </w:pPr>
            <w:r>
              <w:rPr>
                <w:rFonts w:hint="eastAsia" w:ascii="仿宋" w:hAnsi="仿宋" w:eastAsia="仿宋" w:cs="仿宋"/>
                <w:sz w:val="24"/>
                <w:szCs w:val="24"/>
              </w:rPr>
              <w:t>序号</w:t>
            </w:r>
          </w:p>
        </w:tc>
        <w:tc>
          <w:tcPr>
            <w:tcW w:w="3087" w:type="dxa"/>
            <w:shd w:val="clear" w:color="auto" w:fill="auto"/>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产品名称</w:t>
            </w:r>
          </w:p>
        </w:tc>
        <w:tc>
          <w:tcPr>
            <w:tcW w:w="4315" w:type="dxa"/>
            <w:shd w:val="clear" w:color="auto" w:fill="auto"/>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eastAsia" w:ascii="仿宋" w:hAnsi="仿宋" w:eastAsia="仿宋" w:cs="仿宋"/>
                <w:sz w:val="24"/>
                <w:szCs w:val="24"/>
              </w:rPr>
            </w:pPr>
            <w:r>
              <w:rPr>
                <w:rFonts w:hint="eastAsia" w:ascii="仿宋" w:hAnsi="仿宋" w:eastAsia="仿宋" w:cs="仿宋"/>
                <w:sz w:val="24"/>
                <w:szCs w:val="24"/>
              </w:rPr>
              <w:t>抽样数量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6" w:type="dxa"/>
            <w:shd w:val="clear" w:color="auto" w:fill="auto"/>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eastAsia" w:ascii="仿宋" w:hAnsi="仿宋" w:eastAsia="仿宋" w:cs="仿宋"/>
                <w:sz w:val="24"/>
                <w:szCs w:val="24"/>
              </w:rPr>
            </w:pPr>
            <w:r>
              <w:rPr>
                <w:rFonts w:hint="eastAsia" w:ascii="仿宋" w:hAnsi="仿宋" w:eastAsia="仿宋" w:cs="仿宋"/>
                <w:sz w:val="24"/>
                <w:szCs w:val="24"/>
              </w:rPr>
              <w:t>1</w:t>
            </w:r>
          </w:p>
        </w:tc>
        <w:tc>
          <w:tcPr>
            <w:tcW w:w="3087" w:type="dxa"/>
            <w:shd w:val="clear" w:color="auto" w:fill="auto"/>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家用燃气用橡胶和塑料软管</w:t>
            </w:r>
          </w:p>
        </w:tc>
        <w:tc>
          <w:tcPr>
            <w:tcW w:w="4315" w:type="dxa"/>
            <w:shd w:val="clear" w:color="auto" w:fill="auto"/>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eastAsia" w:ascii="仿宋" w:hAnsi="仿宋" w:eastAsia="仿宋" w:cs="仿宋"/>
                <w:sz w:val="24"/>
                <w:szCs w:val="24"/>
              </w:rPr>
            </w:pPr>
            <w:r>
              <w:rPr>
                <w:rFonts w:hint="eastAsia" w:ascii="仿宋" w:hAnsi="仿宋" w:eastAsia="仿宋" w:cs="仿宋"/>
                <w:sz w:val="24"/>
                <w:szCs w:val="24"/>
                <w:lang w:val="en-US" w:eastAsia="zh-CN"/>
              </w:rPr>
              <w:t>10根（m)（检5根（m)，备5根（m)）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966" w:type="dxa"/>
            <w:shd w:val="clear" w:color="auto" w:fill="auto"/>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w:t>
            </w:r>
          </w:p>
        </w:tc>
        <w:tc>
          <w:tcPr>
            <w:tcW w:w="3087" w:type="dxa"/>
            <w:shd w:val="clear" w:color="auto" w:fill="auto"/>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燃气用具连接用金属包覆软管</w:t>
            </w:r>
          </w:p>
        </w:tc>
        <w:tc>
          <w:tcPr>
            <w:tcW w:w="4315" w:type="dxa"/>
            <w:shd w:val="clear" w:color="auto" w:fill="auto"/>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6根（带接头）（检4根（带接头），备2根（带接头））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966" w:type="dxa"/>
            <w:shd w:val="clear" w:color="auto" w:fill="auto"/>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3</w:t>
            </w:r>
          </w:p>
        </w:tc>
        <w:tc>
          <w:tcPr>
            <w:tcW w:w="3087" w:type="dxa"/>
            <w:shd w:val="clear" w:color="auto" w:fill="auto"/>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燃气用具连接用不锈钢波纹软管</w:t>
            </w:r>
          </w:p>
        </w:tc>
        <w:tc>
          <w:tcPr>
            <w:tcW w:w="4315" w:type="dxa"/>
            <w:shd w:val="clear" w:color="auto" w:fill="auto"/>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6根（带接头）（检4根（带接头），备2根（带接头））</w:t>
            </w:r>
          </w:p>
        </w:tc>
      </w:tr>
    </w:tbl>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5.3 样品处置</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5.3.1 抽取的样品经抽样人员和受检单位代表在样品上签字后，在抽样现场立即封样，应对检验样品和备用样品分别签封，并分别加贴标识。样品中产品合格证及使用说明等信息要保证完整。</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5.3.2 抽样人员封样时，应当采取在外包装上下封口处粘贴封条，并在封条上粘贴透明胶带等防拆封措施。封样前后，对检验样品和备用样品分别留存影像记录。</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5.3.3 样品在运输、存储过程中应保障样品拆封前的签封状态。</w:t>
      </w:r>
    </w:p>
    <w:p>
      <w:pPr>
        <w:keepNext w:val="0"/>
        <w:keepLines w:val="0"/>
        <w:pageBreakBefore w:val="0"/>
        <w:widowControl w:val="0"/>
        <w:kinsoku/>
        <w:wordWrap/>
        <w:overflowPunct/>
        <w:topLinePunct w:val="0"/>
        <w:autoSpaceDE/>
        <w:autoSpaceDN/>
        <w:bidi w:val="0"/>
        <w:adjustRightInd w:val="0"/>
        <w:snapToGrid w:val="0"/>
        <w:spacing w:line="580" w:lineRule="exact"/>
        <w:ind w:firstLine="560" w:firstLineChars="200"/>
        <w:textAlignment w:val="auto"/>
        <w:rPr>
          <w:rFonts w:ascii="仿宋_GB2312" w:hAnsi="宋体" w:eastAsia="仿宋_GB2312"/>
          <w:sz w:val="28"/>
          <w:szCs w:val="28"/>
        </w:rPr>
      </w:pPr>
      <w:r>
        <w:rPr>
          <w:rFonts w:hint="eastAsia" w:ascii="仿宋_GB2312" w:hAnsi="宋体" w:eastAsia="仿宋_GB2312"/>
          <w:sz w:val="28"/>
          <w:szCs w:val="28"/>
        </w:rPr>
        <w:t>5.4 抽样单</w:t>
      </w:r>
    </w:p>
    <w:p>
      <w:pPr>
        <w:keepNext w:val="0"/>
        <w:keepLines w:val="0"/>
        <w:pageBreakBefore w:val="0"/>
        <w:widowControl w:val="0"/>
        <w:kinsoku/>
        <w:wordWrap/>
        <w:overflowPunct/>
        <w:topLinePunct w:val="0"/>
        <w:autoSpaceDE/>
        <w:autoSpaceDN/>
        <w:bidi w:val="0"/>
        <w:adjustRightInd w:val="0"/>
        <w:snapToGrid w:val="0"/>
        <w:spacing w:line="580" w:lineRule="exact"/>
        <w:ind w:firstLine="560" w:firstLineChars="200"/>
        <w:textAlignment w:val="auto"/>
        <w:rPr>
          <w:rFonts w:ascii="仿宋_GB2312" w:hAnsi="宋体" w:eastAsia="仿宋_GB2312"/>
          <w:sz w:val="28"/>
          <w:szCs w:val="28"/>
        </w:rPr>
      </w:pPr>
      <w:r>
        <w:rPr>
          <w:rFonts w:hint="eastAsia" w:ascii="仿宋_GB2312" w:eastAsia="仿宋_GB2312"/>
          <w:sz w:val="28"/>
          <w:szCs w:val="28"/>
          <w:highlight w:val="none"/>
        </w:rPr>
        <w:t>应按有关规定填写抽样单，并记录被抽查产品及企业相关信息。需要被抽企业提供的其他样品信息应注明，并经企业确认。</w:t>
      </w:r>
    </w:p>
    <w:p>
      <w:pPr>
        <w:spacing w:line="360" w:lineRule="auto"/>
        <w:ind w:firstLine="548" w:firstLineChars="196"/>
        <w:contextualSpacing/>
        <w:rPr>
          <w:rFonts w:ascii="仿宋_GB2312" w:hAnsi="宋体" w:eastAsia="仿宋_GB2312"/>
          <w:color w:val="000000"/>
          <w:sz w:val="28"/>
          <w:szCs w:val="28"/>
        </w:rPr>
      </w:pPr>
      <w:r>
        <w:rPr>
          <w:rFonts w:hint="eastAsia" w:ascii="仿宋_GB2312" w:hAnsi="宋体" w:eastAsia="仿宋_GB2312"/>
          <w:sz w:val="28"/>
          <w:szCs w:val="28"/>
        </w:rPr>
        <w:t>5.5</w:t>
      </w:r>
      <w:r>
        <w:rPr>
          <w:rFonts w:hint="eastAsia" w:ascii="仿宋" w:hAnsi="仿宋" w:eastAsia="仿宋" w:cs="仿宋"/>
          <w:sz w:val="28"/>
          <w:szCs w:val="28"/>
        </w:rPr>
        <w:t>样品获取方式</w:t>
      </w:r>
    </w:p>
    <w:p>
      <w:pPr>
        <w:keepNext w:val="0"/>
        <w:keepLines w:val="0"/>
        <w:pageBreakBefore w:val="0"/>
        <w:widowControl w:val="0"/>
        <w:kinsoku/>
        <w:wordWrap/>
        <w:overflowPunct/>
        <w:topLinePunct w:val="0"/>
        <w:autoSpaceDE/>
        <w:autoSpaceDN/>
        <w:bidi w:val="0"/>
        <w:adjustRightInd w:val="0"/>
        <w:snapToGrid w:val="0"/>
        <w:spacing w:line="580" w:lineRule="exact"/>
        <w:ind w:firstLine="560" w:firstLineChars="200"/>
        <w:textAlignment w:val="auto"/>
        <w:rPr>
          <w:rFonts w:hint="eastAsia" w:ascii="仿宋" w:hAnsi="仿宋" w:eastAsia="仿宋"/>
          <w:sz w:val="28"/>
          <w:szCs w:val="28"/>
        </w:rPr>
      </w:pPr>
      <w:r>
        <w:rPr>
          <w:rFonts w:hint="eastAsia" w:ascii="仿宋" w:hAnsi="仿宋" w:eastAsia="仿宋"/>
          <w:sz w:val="28"/>
          <w:szCs w:val="28"/>
        </w:rPr>
        <w:t>监督抽查所需的</w:t>
      </w:r>
      <w:r>
        <w:rPr>
          <w:rFonts w:hint="eastAsia" w:ascii="仿宋" w:hAnsi="仿宋" w:eastAsia="仿宋"/>
          <w:sz w:val="28"/>
          <w:szCs w:val="28"/>
          <w:lang w:val="en-US" w:eastAsia="zh-CN"/>
        </w:rPr>
        <w:t>检验</w:t>
      </w:r>
      <w:r>
        <w:rPr>
          <w:rFonts w:hint="eastAsia" w:ascii="仿宋" w:hAnsi="仿宋" w:eastAsia="仿宋"/>
          <w:sz w:val="28"/>
          <w:szCs w:val="28"/>
        </w:rPr>
        <w:t>样品要在受检单位以购买方式获取</w:t>
      </w:r>
      <w:r>
        <w:rPr>
          <w:rFonts w:hint="eastAsia" w:ascii="仿宋" w:hAnsi="仿宋" w:eastAsia="仿宋"/>
          <w:sz w:val="28"/>
          <w:szCs w:val="28"/>
          <w:lang w:eastAsia="zh-CN"/>
        </w:rPr>
        <w:t>，</w:t>
      </w:r>
      <w:r>
        <w:rPr>
          <w:rFonts w:hint="eastAsia" w:ascii="仿宋" w:hAnsi="仿宋" w:eastAsia="仿宋"/>
          <w:sz w:val="28"/>
          <w:szCs w:val="28"/>
        </w:rPr>
        <w:t>受检单位</w:t>
      </w:r>
      <w:r>
        <w:rPr>
          <w:rFonts w:hint="eastAsia" w:ascii="仿宋" w:hAnsi="仿宋" w:eastAsia="仿宋"/>
          <w:sz w:val="28"/>
          <w:szCs w:val="28"/>
          <w:lang w:val="en-US" w:eastAsia="zh-CN"/>
        </w:rPr>
        <w:t>提供收取费用的发票</w:t>
      </w:r>
      <w:r>
        <w:rPr>
          <w:rFonts w:hint="eastAsia" w:ascii="仿宋" w:hAnsi="仿宋" w:eastAsia="仿宋"/>
          <w:sz w:val="28"/>
          <w:szCs w:val="28"/>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560" w:firstLineChars="200"/>
        <w:textAlignment w:val="auto"/>
        <w:rPr>
          <w:rFonts w:hint="default" w:ascii="仿宋" w:hAnsi="仿宋" w:eastAsia="仿宋"/>
          <w:sz w:val="28"/>
          <w:szCs w:val="28"/>
          <w:lang w:val="en-US" w:eastAsia="zh-CN"/>
        </w:rPr>
      </w:pPr>
      <w:r>
        <w:rPr>
          <w:rFonts w:hint="eastAsia" w:ascii="仿宋" w:hAnsi="仿宋" w:eastAsia="仿宋"/>
          <w:sz w:val="28"/>
          <w:szCs w:val="28"/>
          <w:lang w:val="en-US" w:eastAsia="zh-CN"/>
        </w:rPr>
        <w:t>备检样品由受检单位先行无偿提供，后续启用备检样品进行复检时，由承担检验的复检机构另行付费购买，受检单位需另行提供发票。</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5.6抽样注意事项</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抽样时，抽样人员应当认真核实营业执照等被抽查企业的相关信息，确认企业不存在不得抽样的情形。遇有下列情况之一且能提供有效证明的，不得抽样：</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（1）被抽查企业无监督抽查通知书或者相关文件复印件所列产品的；</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（2）有充分证据证明拟抽查的产品是不用于销售的；</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（3）产品不涉及强制性标准要求，仅按双方约定的技术要求加工生产，且未执行任何标准的；</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（4）有充分证据证明拟抽查的产品为企业用于出口，并且出口合同对产品质量另有规定的；</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（5）产品或者标签、包装、说明书标有“试制”“处理”或者“样品”等字样的；</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（6）企业提供上级市场监管部门6个月内该种产品的监督抽查抽样单或者合格检验报告的。</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6 检验要求</w:t>
      </w:r>
    </w:p>
    <w:p>
      <w:pPr>
        <w:adjustRightInd w:val="0"/>
        <w:snapToGrid w:val="0"/>
        <w:spacing w:line="594" w:lineRule="exact"/>
        <w:ind w:firstLine="560" w:firstLineChars="200"/>
        <w:rPr>
          <w:rFonts w:hint="eastAsia" w:ascii="仿宋" w:hAnsi="仿宋" w:eastAsia="仿宋" w:cs="仿宋"/>
          <w:sz w:val="28"/>
          <w:szCs w:val="28"/>
        </w:rPr>
      </w:pPr>
      <w:r>
        <w:rPr>
          <w:rFonts w:hint="eastAsia" w:ascii="仿宋_GB2312" w:hAnsi="宋体" w:eastAsia="仿宋_GB2312"/>
          <w:sz w:val="28"/>
          <w:szCs w:val="28"/>
        </w:rPr>
        <w:t>6.1 检验项目</w:t>
      </w:r>
    </w:p>
    <w:p>
      <w:pPr>
        <w:spacing w:before="100" w:beforeAutospacing="1" w:after="100" w:afterAutospacing="1"/>
        <w:contextualSpacing/>
        <w:jc w:val="center"/>
        <w:rPr>
          <w:rFonts w:hint="eastAsia" w:ascii="仿宋" w:hAnsi="仿宋" w:eastAsia="仿宋" w:cs="仿宋"/>
          <w:b/>
          <w:color w:val="000000" w:themeColor="text1"/>
          <w:sz w:val="28"/>
          <w:szCs w:val="21"/>
          <w:lang w:eastAsia="zh-CN"/>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表</w:t>
      </w:r>
      <w:r>
        <w:rPr>
          <w:rFonts w:hint="eastAsia" w:ascii="仿宋" w:hAnsi="仿宋" w:eastAsia="仿宋" w:cs="仿宋"/>
          <w:color w:val="000000" w:themeColor="text1"/>
          <w:szCs w:val="21"/>
          <w:lang w:val="en-US" w:eastAsia="zh-CN"/>
          <w14:textFill>
            <w14:solidFill>
              <w14:schemeClr w14:val="tx1"/>
            </w14:solidFill>
          </w14:textFill>
        </w:rPr>
        <w:t>3 执行标准</w:t>
      </w:r>
      <w:r>
        <w:rPr>
          <w:rFonts w:hint="eastAsia" w:ascii="仿宋" w:hAnsi="仿宋" w:eastAsia="仿宋" w:cs="仿宋"/>
          <w:bCs/>
          <w:iCs/>
          <w:kern w:val="0"/>
          <w:szCs w:val="21"/>
        </w:rPr>
        <w:t>GB 29993-2013</w:t>
      </w:r>
      <w:r>
        <w:rPr>
          <w:rFonts w:hint="eastAsia" w:ascii="仿宋" w:hAnsi="仿宋" w:eastAsia="仿宋" w:cs="仿宋"/>
          <w:color w:val="000000" w:themeColor="text1"/>
          <w:szCs w:val="21"/>
          <w:lang w:val="en-US" w:eastAsia="zh-CN"/>
          <w14:textFill>
            <w14:solidFill>
              <w14:schemeClr w14:val="tx1"/>
            </w14:solidFill>
          </w14:textFill>
        </w:rPr>
        <w:t xml:space="preserve"> </w:t>
      </w:r>
      <w:r>
        <w:rPr>
          <w:rFonts w:hint="eastAsia" w:ascii="仿宋" w:hAnsi="仿宋" w:eastAsia="仿宋" w:cs="仿宋"/>
          <w:color w:val="000000" w:themeColor="text1"/>
          <w:szCs w:val="21"/>
          <w:lang w:eastAsia="zh-CN"/>
          <w14:textFill>
            <w14:solidFill>
              <w14:schemeClr w14:val="tx1"/>
            </w14:solidFill>
          </w14:textFill>
        </w:rPr>
        <w:t>家用燃气用橡胶和塑料软管</w:t>
      </w:r>
    </w:p>
    <w:tbl>
      <w:tblPr>
        <w:tblStyle w:val="8"/>
        <w:tblW w:w="89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9"/>
        <w:gridCol w:w="3119"/>
        <w:gridCol w:w="2060"/>
        <w:gridCol w:w="29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rPr>
              <w:t>序号</w:t>
            </w:r>
          </w:p>
        </w:tc>
        <w:tc>
          <w:tcPr>
            <w:tcW w:w="3119"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rPr>
              <w:t>检验项目</w:t>
            </w:r>
          </w:p>
        </w:tc>
        <w:tc>
          <w:tcPr>
            <w:tcW w:w="2060"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kern w:val="0"/>
                <w:szCs w:val="21"/>
              </w:rPr>
              <w:t>依据标准</w:t>
            </w:r>
          </w:p>
        </w:tc>
        <w:tc>
          <w:tcPr>
            <w:tcW w:w="2967"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1</w:t>
            </w:r>
          </w:p>
        </w:tc>
        <w:tc>
          <w:tcPr>
            <w:tcW w:w="3119"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软管结构</w:t>
            </w:r>
          </w:p>
        </w:tc>
        <w:tc>
          <w:tcPr>
            <w:tcW w:w="2060" w:type="dxa"/>
            <w:vMerge w:val="restart"/>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rPr>
              <w:t>GB 29993-2013</w:t>
            </w:r>
          </w:p>
        </w:tc>
        <w:tc>
          <w:tcPr>
            <w:tcW w:w="2967"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GB 29993-2013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2</w:t>
            </w:r>
          </w:p>
        </w:tc>
        <w:tc>
          <w:tcPr>
            <w:tcW w:w="3119"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尺寸和公差</w:t>
            </w:r>
          </w:p>
        </w:tc>
        <w:tc>
          <w:tcPr>
            <w:tcW w:w="2060" w:type="dxa"/>
            <w:vMerge w:val="continue"/>
            <w:vAlign w:val="center"/>
          </w:tcPr>
          <w:p>
            <w:pPr>
              <w:widowControl/>
              <w:adjustRightInd w:val="0"/>
              <w:snapToGrid w:val="0"/>
              <w:ind w:left="122" w:leftChars="58"/>
              <w:jc w:val="center"/>
              <w:rPr>
                <w:rFonts w:hint="eastAsia" w:ascii="仿宋" w:hAnsi="仿宋" w:eastAsia="仿宋" w:cs="仿宋"/>
                <w:bCs/>
                <w:iCs/>
                <w:kern w:val="0"/>
                <w:szCs w:val="21"/>
              </w:rPr>
            </w:pPr>
          </w:p>
        </w:tc>
        <w:tc>
          <w:tcPr>
            <w:tcW w:w="2967"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GB/T 9573-2013</w:t>
            </w:r>
          </w:p>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GB 29993-2013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3</w:t>
            </w:r>
          </w:p>
        </w:tc>
        <w:tc>
          <w:tcPr>
            <w:tcW w:w="3119"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外观</w:t>
            </w:r>
          </w:p>
        </w:tc>
        <w:tc>
          <w:tcPr>
            <w:tcW w:w="2060" w:type="dxa"/>
            <w:vMerge w:val="continue"/>
            <w:vAlign w:val="center"/>
          </w:tcPr>
          <w:p>
            <w:pPr>
              <w:widowControl/>
              <w:adjustRightInd w:val="0"/>
              <w:snapToGrid w:val="0"/>
              <w:ind w:left="122" w:leftChars="58"/>
              <w:jc w:val="center"/>
              <w:rPr>
                <w:rFonts w:hint="eastAsia" w:ascii="仿宋" w:hAnsi="仿宋" w:eastAsia="仿宋" w:cs="仿宋"/>
                <w:bCs/>
                <w:iCs/>
                <w:kern w:val="0"/>
                <w:szCs w:val="21"/>
              </w:rPr>
            </w:pPr>
          </w:p>
        </w:tc>
        <w:tc>
          <w:tcPr>
            <w:tcW w:w="2967"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GB 29993-2013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4</w:t>
            </w:r>
          </w:p>
        </w:tc>
        <w:tc>
          <w:tcPr>
            <w:tcW w:w="3119"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耐液体性能</w:t>
            </w:r>
          </w:p>
        </w:tc>
        <w:tc>
          <w:tcPr>
            <w:tcW w:w="2060" w:type="dxa"/>
            <w:vMerge w:val="continue"/>
            <w:vAlign w:val="center"/>
          </w:tcPr>
          <w:p>
            <w:pPr>
              <w:widowControl/>
              <w:adjustRightInd w:val="0"/>
              <w:snapToGrid w:val="0"/>
              <w:ind w:left="122" w:leftChars="58"/>
              <w:jc w:val="center"/>
              <w:rPr>
                <w:rFonts w:hint="eastAsia" w:ascii="仿宋" w:hAnsi="仿宋" w:eastAsia="仿宋" w:cs="仿宋"/>
                <w:bCs/>
                <w:iCs/>
                <w:kern w:val="0"/>
                <w:szCs w:val="21"/>
              </w:rPr>
            </w:pPr>
          </w:p>
        </w:tc>
        <w:tc>
          <w:tcPr>
            <w:tcW w:w="2967"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GB 29993-2013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5</w:t>
            </w:r>
          </w:p>
        </w:tc>
        <w:tc>
          <w:tcPr>
            <w:tcW w:w="3119"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耐燃试验</w:t>
            </w:r>
          </w:p>
        </w:tc>
        <w:tc>
          <w:tcPr>
            <w:tcW w:w="2060" w:type="dxa"/>
            <w:vMerge w:val="continue"/>
            <w:vAlign w:val="center"/>
          </w:tcPr>
          <w:p>
            <w:pPr>
              <w:widowControl/>
              <w:adjustRightInd w:val="0"/>
              <w:snapToGrid w:val="0"/>
              <w:ind w:left="122" w:leftChars="58"/>
              <w:jc w:val="center"/>
              <w:rPr>
                <w:rFonts w:hint="eastAsia" w:ascii="仿宋" w:hAnsi="仿宋" w:eastAsia="仿宋" w:cs="仿宋"/>
                <w:bCs/>
                <w:iCs/>
                <w:kern w:val="0"/>
                <w:szCs w:val="21"/>
              </w:rPr>
            </w:pPr>
          </w:p>
        </w:tc>
        <w:tc>
          <w:tcPr>
            <w:tcW w:w="2967"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GB 29993-2013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lang w:val="en-US" w:eastAsia="zh-CN"/>
              </w:rPr>
            </w:pPr>
            <w:r>
              <w:rPr>
                <w:rFonts w:hint="eastAsia" w:ascii="仿宋" w:hAnsi="仿宋" w:eastAsia="仿宋" w:cs="仿宋"/>
                <w:i w:val="0"/>
                <w:iCs w:val="0"/>
                <w:color w:val="000000"/>
                <w:kern w:val="0"/>
                <w:sz w:val="22"/>
                <w:szCs w:val="22"/>
                <w:u w:val="none"/>
                <w:lang w:val="en-US" w:eastAsia="zh-CN" w:bidi="ar"/>
              </w:rPr>
              <w:t>6</w:t>
            </w:r>
          </w:p>
        </w:tc>
        <w:tc>
          <w:tcPr>
            <w:tcW w:w="3119"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气密试验</w:t>
            </w:r>
          </w:p>
        </w:tc>
        <w:tc>
          <w:tcPr>
            <w:tcW w:w="2060" w:type="dxa"/>
            <w:vMerge w:val="continue"/>
            <w:vAlign w:val="center"/>
          </w:tcPr>
          <w:p>
            <w:pPr>
              <w:widowControl/>
              <w:adjustRightInd w:val="0"/>
              <w:snapToGrid w:val="0"/>
              <w:ind w:left="122" w:leftChars="58"/>
              <w:jc w:val="center"/>
              <w:rPr>
                <w:rFonts w:hint="eastAsia" w:ascii="仿宋" w:hAnsi="仿宋" w:eastAsia="仿宋" w:cs="仿宋"/>
                <w:bCs/>
                <w:iCs/>
                <w:kern w:val="0"/>
                <w:szCs w:val="21"/>
              </w:rPr>
            </w:pPr>
          </w:p>
        </w:tc>
        <w:tc>
          <w:tcPr>
            <w:tcW w:w="2967"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 29993-2013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lang w:val="en-US" w:eastAsia="zh-CN"/>
              </w:rPr>
            </w:pPr>
            <w:r>
              <w:rPr>
                <w:rFonts w:hint="eastAsia" w:ascii="仿宋" w:hAnsi="仿宋" w:eastAsia="仿宋" w:cs="仿宋"/>
                <w:i w:val="0"/>
                <w:iCs w:val="0"/>
                <w:color w:val="000000"/>
                <w:kern w:val="0"/>
                <w:sz w:val="22"/>
                <w:szCs w:val="22"/>
                <w:u w:val="none"/>
                <w:lang w:val="en-US" w:eastAsia="zh-CN" w:bidi="ar"/>
              </w:rPr>
              <w:t>7</w:t>
            </w:r>
          </w:p>
        </w:tc>
        <w:tc>
          <w:tcPr>
            <w:tcW w:w="3119"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弯曲试验</w:t>
            </w:r>
          </w:p>
        </w:tc>
        <w:tc>
          <w:tcPr>
            <w:tcW w:w="2060" w:type="dxa"/>
            <w:vMerge w:val="continue"/>
            <w:vAlign w:val="center"/>
          </w:tcPr>
          <w:p>
            <w:pPr>
              <w:widowControl/>
              <w:adjustRightInd w:val="0"/>
              <w:snapToGrid w:val="0"/>
              <w:ind w:left="122" w:leftChars="58"/>
              <w:jc w:val="center"/>
              <w:rPr>
                <w:rFonts w:hint="eastAsia" w:ascii="仿宋" w:hAnsi="仿宋" w:eastAsia="仿宋" w:cs="仿宋"/>
                <w:bCs/>
                <w:iCs/>
                <w:kern w:val="0"/>
                <w:szCs w:val="21"/>
              </w:rPr>
            </w:pPr>
          </w:p>
        </w:tc>
        <w:tc>
          <w:tcPr>
            <w:tcW w:w="2967"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GB/T 5565-2006</w:t>
            </w:r>
          </w:p>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GB/T 5565.1-2017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lang w:val="en-US" w:eastAsia="zh-CN"/>
              </w:rPr>
            </w:pPr>
            <w:r>
              <w:rPr>
                <w:rFonts w:hint="eastAsia" w:ascii="仿宋" w:hAnsi="仿宋" w:eastAsia="仿宋" w:cs="仿宋"/>
                <w:i w:val="0"/>
                <w:iCs w:val="0"/>
                <w:color w:val="000000"/>
                <w:kern w:val="0"/>
                <w:sz w:val="22"/>
                <w:szCs w:val="22"/>
                <w:u w:val="none"/>
                <w:lang w:val="en-US" w:eastAsia="zh-CN" w:bidi="ar"/>
              </w:rPr>
              <w:t>8</w:t>
            </w:r>
          </w:p>
        </w:tc>
        <w:tc>
          <w:tcPr>
            <w:tcW w:w="3119"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耐热试验</w:t>
            </w:r>
          </w:p>
        </w:tc>
        <w:tc>
          <w:tcPr>
            <w:tcW w:w="2060" w:type="dxa"/>
            <w:vMerge w:val="continue"/>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p>
        </w:tc>
        <w:tc>
          <w:tcPr>
            <w:tcW w:w="2967"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 29993-2013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default"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9</w:t>
            </w:r>
          </w:p>
        </w:tc>
        <w:tc>
          <w:tcPr>
            <w:tcW w:w="3119"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压力试验</w:t>
            </w:r>
          </w:p>
        </w:tc>
        <w:tc>
          <w:tcPr>
            <w:tcW w:w="2060" w:type="dxa"/>
            <w:vMerge w:val="continue"/>
            <w:vAlign w:val="center"/>
          </w:tcPr>
          <w:p>
            <w:pPr>
              <w:widowControl/>
              <w:adjustRightInd w:val="0"/>
              <w:snapToGrid w:val="0"/>
              <w:ind w:left="122" w:leftChars="58"/>
              <w:jc w:val="center"/>
              <w:rPr>
                <w:rFonts w:hint="eastAsia" w:ascii="仿宋" w:hAnsi="仿宋" w:eastAsia="仿宋" w:cs="仿宋"/>
                <w:bCs/>
                <w:iCs/>
                <w:kern w:val="0"/>
                <w:szCs w:val="21"/>
              </w:rPr>
            </w:pPr>
          </w:p>
        </w:tc>
        <w:tc>
          <w:tcPr>
            <w:tcW w:w="2967"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GB/T 5563-2013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default"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10</w:t>
            </w:r>
          </w:p>
        </w:tc>
        <w:tc>
          <w:tcPr>
            <w:tcW w:w="3119"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拉断试验</w:t>
            </w:r>
          </w:p>
        </w:tc>
        <w:tc>
          <w:tcPr>
            <w:tcW w:w="2060" w:type="dxa"/>
            <w:vMerge w:val="continue"/>
            <w:vAlign w:val="center"/>
          </w:tcPr>
          <w:p>
            <w:pPr>
              <w:widowControl/>
              <w:adjustRightInd w:val="0"/>
              <w:snapToGrid w:val="0"/>
              <w:ind w:left="122" w:leftChars="58"/>
              <w:jc w:val="center"/>
              <w:rPr>
                <w:rFonts w:hint="eastAsia" w:ascii="仿宋" w:hAnsi="仿宋" w:eastAsia="仿宋" w:cs="仿宋"/>
                <w:bCs/>
                <w:iCs/>
                <w:kern w:val="0"/>
                <w:szCs w:val="21"/>
              </w:rPr>
            </w:pPr>
          </w:p>
        </w:tc>
        <w:tc>
          <w:tcPr>
            <w:tcW w:w="2967"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 29993-2013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default"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11</w:t>
            </w:r>
          </w:p>
        </w:tc>
        <w:tc>
          <w:tcPr>
            <w:tcW w:w="3119"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低温弯曲试验</w:t>
            </w:r>
          </w:p>
        </w:tc>
        <w:tc>
          <w:tcPr>
            <w:tcW w:w="2060" w:type="dxa"/>
            <w:vMerge w:val="continue"/>
            <w:vAlign w:val="center"/>
          </w:tcPr>
          <w:p>
            <w:pPr>
              <w:widowControl/>
              <w:adjustRightInd w:val="0"/>
              <w:snapToGrid w:val="0"/>
              <w:ind w:left="122" w:leftChars="58"/>
              <w:jc w:val="center"/>
              <w:rPr>
                <w:rFonts w:hint="eastAsia" w:ascii="仿宋" w:hAnsi="仿宋" w:eastAsia="仿宋" w:cs="仿宋"/>
                <w:bCs/>
                <w:iCs/>
                <w:kern w:val="0"/>
                <w:szCs w:val="21"/>
              </w:rPr>
            </w:pPr>
          </w:p>
        </w:tc>
        <w:tc>
          <w:tcPr>
            <w:tcW w:w="2967"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GB/T 5564-2006</w:t>
            </w:r>
          </w:p>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GB/T 5565.2-2017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default"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12</w:t>
            </w:r>
          </w:p>
        </w:tc>
        <w:tc>
          <w:tcPr>
            <w:tcW w:w="3119"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标志</w:t>
            </w:r>
          </w:p>
        </w:tc>
        <w:tc>
          <w:tcPr>
            <w:tcW w:w="2060" w:type="dxa"/>
            <w:vMerge w:val="continue"/>
            <w:vAlign w:val="center"/>
          </w:tcPr>
          <w:p>
            <w:pPr>
              <w:widowControl/>
              <w:adjustRightInd w:val="0"/>
              <w:snapToGrid w:val="0"/>
              <w:ind w:left="122" w:leftChars="58"/>
              <w:jc w:val="center"/>
              <w:rPr>
                <w:rFonts w:hint="eastAsia" w:ascii="仿宋" w:hAnsi="仿宋" w:eastAsia="仿宋" w:cs="仿宋"/>
                <w:bCs/>
                <w:iCs/>
                <w:kern w:val="0"/>
                <w:szCs w:val="21"/>
              </w:rPr>
            </w:pPr>
          </w:p>
        </w:tc>
        <w:tc>
          <w:tcPr>
            <w:tcW w:w="2967"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 29993-2013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905" w:type="dxa"/>
            <w:gridSpan w:val="4"/>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bCs/>
                <w:kern w:val="0"/>
                <w:szCs w:val="21"/>
                <w:lang w:val="en-US" w:eastAsia="zh-CN"/>
              </w:rPr>
              <w:t>备注：根据实际样品，仅对适用项目进行检测。</w:t>
            </w:r>
          </w:p>
        </w:tc>
      </w:tr>
    </w:tbl>
    <w:p>
      <w:pPr>
        <w:spacing w:before="100" w:beforeAutospacing="1" w:after="100" w:afterAutospacing="1"/>
        <w:contextualSpacing/>
        <w:jc w:val="center"/>
        <w:rPr>
          <w:rFonts w:hint="eastAsia" w:ascii="仿宋" w:hAnsi="仿宋" w:eastAsia="仿宋" w:cs="仿宋"/>
          <w:b/>
          <w:color w:val="000000" w:themeColor="text1"/>
          <w:sz w:val="28"/>
          <w:szCs w:val="21"/>
          <w:lang w:eastAsia="zh-CN"/>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表</w:t>
      </w:r>
      <w:r>
        <w:rPr>
          <w:rFonts w:hint="eastAsia" w:ascii="仿宋" w:hAnsi="仿宋" w:eastAsia="仿宋" w:cs="仿宋"/>
          <w:color w:val="000000" w:themeColor="text1"/>
          <w:szCs w:val="21"/>
          <w:lang w:val="en-US" w:eastAsia="zh-CN"/>
          <w14:textFill>
            <w14:solidFill>
              <w14:schemeClr w14:val="tx1"/>
            </w14:solidFill>
          </w14:textFill>
        </w:rPr>
        <w:t>4 执行标准</w:t>
      </w:r>
      <w:r>
        <w:rPr>
          <w:rFonts w:hint="eastAsia" w:ascii="仿宋" w:hAnsi="仿宋" w:eastAsia="仿宋" w:cs="仿宋"/>
          <w:bCs/>
          <w:iCs/>
          <w:kern w:val="0"/>
          <w:szCs w:val="21"/>
        </w:rPr>
        <w:t>CJ/T 490-2016</w:t>
      </w:r>
      <w:r>
        <w:rPr>
          <w:rFonts w:hint="eastAsia" w:ascii="仿宋" w:hAnsi="仿宋" w:eastAsia="仿宋" w:cs="仿宋"/>
          <w:color w:val="000000" w:themeColor="text1"/>
          <w:szCs w:val="21"/>
          <w:lang w:eastAsia="zh-CN"/>
          <w14:textFill>
            <w14:solidFill>
              <w14:schemeClr w14:val="tx1"/>
            </w14:solidFill>
          </w14:textFill>
        </w:rPr>
        <w:t>燃气用具连接用金属包覆软管</w:t>
      </w:r>
    </w:p>
    <w:tbl>
      <w:tblPr>
        <w:tblStyle w:val="8"/>
        <w:tblW w:w="894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9"/>
        <w:gridCol w:w="3119"/>
        <w:gridCol w:w="2079"/>
        <w:gridCol w:w="29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rPr>
              <w:t>序号</w:t>
            </w:r>
          </w:p>
        </w:tc>
        <w:tc>
          <w:tcPr>
            <w:tcW w:w="3119"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rPr>
              <w:t>检验项目</w:t>
            </w:r>
          </w:p>
        </w:tc>
        <w:tc>
          <w:tcPr>
            <w:tcW w:w="2079"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kern w:val="0"/>
                <w:szCs w:val="21"/>
              </w:rPr>
              <w:t>依据标准</w:t>
            </w:r>
          </w:p>
        </w:tc>
        <w:tc>
          <w:tcPr>
            <w:tcW w:w="2987"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1</w:t>
            </w:r>
          </w:p>
        </w:tc>
        <w:tc>
          <w:tcPr>
            <w:tcW w:w="3119"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外观</w:t>
            </w:r>
          </w:p>
        </w:tc>
        <w:tc>
          <w:tcPr>
            <w:tcW w:w="2079" w:type="dxa"/>
            <w:vMerge w:val="restart"/>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rPr>
              <w:t>CJ/T 490-2016</w:t>
            </w:r>
          </w:p>
        </w:tc>
        <w:tc>
          <w:tcPr>
            <w:tcW w:w="2987"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CJ/T 490-2016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2</w:t>
            </w:r>
          </w:p>
        </w:tc>
        <w:tc>
          <w:tcPr>
            <w:tcW w:w="3119"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结构与尺寸</w:t>
            </w:r>
          </w:p>
        </w:tc>
        <w:tc>
          <w:tcPr>
            <w:tcW w:w="2079" w:type="dxa"/>
            <w:vMerge w:val="continue"/>
            <w:vAlign w:val="center"/>
          </w:tcPr>
          <w:p>
            <w:pPr>
              <w:widowControl/>
              <w:adjustRightInd w:val="0"/>
              <w:snapToGrid w:val="0"/>
              <w:ind w:left="122" w:leftChars="58"/>
              <w:jc w:val="center"/>
              <w:rPr>
                <w:rFonts w:hint="eastAsia" w:ascii="仿宋" w:hAnsi="仿宋" w:eastAsia="仿宋" w:cs="仿宋"/>
                <w:bCs/>
                <w:iCs/>
                <w:kern w:val="0"/>
                <w:szCs w:val="21"/>
              </w:rPr>
            </w:pPr>
          </w:p>
        </w:tc>
        <w:tc>
          <w:tcPr>
            <w:tcW w:w="2987"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CJ/T 490-2016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3</w:t>
            </w:r>
          </w:p>
        </w:tc>
        <w:tc>
          <w:tcPr>
            <w:tcW w:w="3119"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软管挤压试验</w:t>
            </w:r>
          </w:p>
        </w:tc>
        <w:tc>
          <w:tcPr>
            <w:tcW w:w="2079" w:type="dxa"/>
            <w:vMerge w:val="continue"/>
            <w:vAlign w:val="center"/>
          </w:tcPr>
          <w:p>
            <w:pPr>
              <w:widowControl/>
              <w:adjustRightInd w:val="0"/>
              <w:snapToGrid w:val="0"/>
              <w:ind w:left="122" w:leftChars="58"/>
              <w:jc w:val="center"/>
              <w:rPr>
                <w:rFonts w:hint="eastAsia" w:ascii="仿宋" w:hAnsi="仿宋" w:eastAsia="仿宋" w:cs="仿宋"/>
                <w:bCs/>
                <w:iCs/>
                <w:kern w:val="0"/>
                <w:szCs w:val="21"/>
              </w:rPr>
            </w:pPr>
          </w:p>
        </w:tc>
        <w:tc>
          <w:tcPr>
            <w:tcW w:w="2987"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CJ/T 490-2016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4</w:t>
            </w:r>
          </w:p>
        </w:tc>
        <w:tc>
          <w:tcPr>
            <w:tcW w:w="3119"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软管耐压性</w:t>
            </w:r>
          </w:p>
        </w:tc>
        <w:tc>
          <w:tcPr>
            <w:tcW w:w="2079" w:type="dxa"/>
            <w:vMerge w:val="continue"/>
            <w:vAlign w:val="center"/>
          </w:tcPr>
          <w:p>
            <w:pPr>
              <w:widowControl/>
              <w:adjustRightInd w:val="0"/>
              <w:snapToGrid w:val="0"/>
              <w:ind w:left="122" w:leftChars="58"/>
              <w:jc w:val="center"/>
              <w:rPr>
                <w:rFonts w:hint="eastAsia" w:ascii="仿宋" w:hAnsi="仿宋" w:eastAsia="仿宋" w:cs="仿宋"/>
                <w:bCs/>
                <w:iCs/>
                <w:kern w:val="0"/>
                <w:szCs w:val="21"/>
              </w:rPr>
            </w:pPr>
          </w:p>
        </w:tc>
        <w:tc>
          <w:tcPr>
            <w:tcW w:w="2987"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CJ/T 490-2016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5</w:t>
            </w:r>
          </w:p>
        </w:tc>
        <w:tc>
          <w:tcPr>
            <w:tcW w:w="3119"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软管气密性</w:t>
            </w:r>
          </w:p>
        </w:tc>
        <w:tc>
          <w:tcPr>
            <w:tcW w:w="2079" w:type="dxa"/>
            <w:vMerge w:val="continue"/>
            <w:vAlign w:val="center"/>
          </w:tcPr>
          <w:p>
            <w:pPr>
              <w:widowControl/>
              <w:adjustRightInd w:val="0"/>
              <w:snapToGrid w:val="0"/>
              <w:ind w:left="122" w:leftChars="58"/>
              <w:jc w:val="center"/>
              <w:rPr>
                <w:rFonts w:hint="eastAsia" w:ascii="仿宋" w:hAnsi="仿宋" w:eastAsia="仿宋" w:cs="仿宋"/>
                <w:bCs/>
                <w:iCs/>
                <w:kern w:val="0"/>
                <w:szCs w:val="21"/>
              </w:rPr>
            </w:pPr>
          </w:p>
        </w:tc>
        <w:tc>
          <w:tcPr>
            <w:tcW w:w="2987"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CJ/T 490-2016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lang w:val="en-US" w:eastAsia="zh-CN"/>
              </w:rPr>
            </w:pPr>
            <w:r>
              <w:rPr>
                <w:rFonts w:hint="eastAsia" w:ascii="仿宋" w:hAnsi="仿宋" w:eastAsia="仿宋" w:cs="仿宋"/>
                <w:i w:val="0"/>
                <w:iCs w:val="0"/>
                <w:color w:val="000000"/>
                <w:kern w:val="0"/>
                <w:sz w:val="22"/>
                <w:szCs w:val="22"/>
                <w:u w:val="none"/>
                <w:lang w:val="en-US" w:eastAsia="zh-CN" w:bidi="ar"/>
              </w:rPr>
              <w:t>6</w:t>
            </w:r>
          </w:p>
        </w:tc>
        <w:tc>
          <w:tcPr>
            <w:tcW w:w="3119"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包覆层阻燃性</w:t>
            </w:r>
          </w:p>
        </w:tc>
        <w:tc>
          <w:tcPr>
            <w:tcW w:w="2079" w:type="dxa"/>
            <w:vMerge w:val="continue"/>
            <w:vAlign w:val="center"/>
          </w:tcPr>
          <w:p>
            <w:pPr>
              <w:widowControl/>
              <w:adjustRightInd w:val="0"/>
              <w:snapToGrid w:val="0"/>
              <w:ind w:left="122" w:leftChars="58"/>
              <w:jc w:val="center"/>
              <w:rPr>
                <w:rFonts w:hint="eastAsia" w:ascii="仿宋" w:hAnsi="仿宋" w:eastAsia="仿宋" w:cs="仿宋"/>
                <w:bCs/>
                <w:iCs/>
                <w:kern w:val="0"/>
                <w:szCs w:val="21"/>
              </w:rPr>
            </w:pPr>
          </w:p>
        </w:tc>
        <w:tc>
          <w:tcPr>
            <w:tcW w:w="2987"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CJ/T 197-2010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lang w:val="en-US" w:eastAsia="zh-CN"/>
              </w:rPr>
            </w:pPr>
            <w:r>
              <w:rPr>
                <w:rFonts w:hint="eastAsia" w:ascii="仿宋" w:hAnsi="仿宋" w:eastAsia="仿宋" w:cs="仿宋"/>
                <w:i w:val="0"/>
                <w:iCs w:val="0"/>
                <w:color w:val="000000"/>
                <w:kern w:val="0"/>
                <w:sz w:val="22"/>
                <w:szCs w:val="22"/>
                <w:u w:val="none"/>
                <w:lang w:val="en-US" w:eastAsia="zh-CN" w:bidi="ar"/>
              </w:rPr>
              <w:t>7</w:t>
            </w:r>
          </w:p>
        </w:tc>
        <w:tc>
          <w:tcPr>
            <w:tcW w:w="3119"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包覆层耐液体性</w:t>
            </w:r>
          </w:p>
        </w:tc>
        <w:tc>
          <w:tcPr>
            <w:tcW w:w="2079" w:type="dxa"/>
            <w:vMerge w:val="continue"/>
            <w:vAlign w:val="center"/>
          </w:tcPr>
          <w:p>
            <w:pPr>
              <w:widowControl/>
              <w:adjustRightInd w:val="0"/>
              <w:snapToGrid w:val="0"/>
              <w:ind w:left="122" w:leftChars="58"/>
              <w:jc w:val="center"/>
              <w:rPr>
                <w:rFonts w:hint="eastAsia" w:ascii="仿宋" w:hAnsi="仿宋" w:eastAsia="仿宋" w:cs="仿宋"/>
                <w:bCs/>
                <w:iCs/>
                <w:kern w:val="0"/>
                <w:szCs w:val="21"/>
              </w:rPr>
            </w:pPr>
          </w:p>
        </w:tc>
        <w:tc>
          <w:tcPr>
            <w:tcW w:w="2987"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GB/T 1690-2010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lang w:val="en-US" w:eastAsia="zh-CN"/>
              </w:rPr>
            </w:pPr>
            <w:r>
              <w:rPr>
                <w:rFonts w:hint="eastAsia" w:ascii="仿宋" w:hAnsi="仿宋" w:eastAsia="仿宋" w:cs="仿宋"/>
                <w:i w:val="0"/>
                <w:iCs w:val="0"/>
                <w:color w:val="000000"/>
                <w:kern w:val="0"/>
                <w:sz w:val="22"/>
                <w:szCs w:val="22"/>
                <w:u w:val="none"/>
                <w:lang w:val="en-US" w:eastAsia="zh-CN" w:bidi="ar"/>
              </w:rPr>
              <w:t>8</w:t>
            </w:r>
          </w:p>
        </w:tc>
        <w:tc>
          <w:tcPr>
            <w:tcW w:w="3119"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接头耐冲击性</w:t>
            </w:r>
          </w:p>
        </w:tc>
        <w:tc>
          <w:tcPr>
            <w:tcW w:w="2079" w:type="dxa"/>
            <w:vMerge w:val="continue"/>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p>
        </w:tc>
        <w:tc>
          <w:tcPr>
            <w:tcW w:w="2987"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CJ/T 197-2010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default"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9</w:t>
            </w:r>
          </w:p>
        </w:tc>
        <w:tc>
          <w:tcPr>
            <w:tcW w:w="3119"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lang w:val="en-US" w:eastAsia="zh-CN"/>
              </w:rPr>
              <w:t>标志耐擦性</w:t>
            </w:r>
          </w:p>
        </w:tc>
        <w:tc>
          <w:tcPr>
            <w:tcW w:w="2079" w:type="dxa"/>
            <w:vMerge w:val="continue"/>
            <w:vAlign w:val="center"/>
          </w:tcPr>
          <w:p>
            <w:pPr>
              <w:widowControl/>
              <w:adjustRightInd w:val="0"/>
              <w:snapToGrid w:val="0"/>
              <w:ind w:left="122" w:leftChars="58"/>
              <w:jc w:val="center"/>
              <w:rPr>
                <w:rFonts w:hint="eastAsia" w:ascii="仿宋" w:hAnsi="仿宋" w:eastAsia="仿宋" w:cs="仿宋"/>
                <w:bCs/>
                <w:iCs/>
                <w:kern w:val="0"/>
                <w:szCs w:val="21"/>
              </w:rPr>
            </w:pPr>
          </w:p>
        </w:tc>
        <w:tc>
          <w:tcPr>
            <w:tcW w:w="2987"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CJ/T 491-2016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default"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10</w:t>
            </w:r>
          </w:p>
        </w:tc>
        <w:tc>
          <w:tcPr>
            <w:tcW w:w="3119"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标志</w:t>
            </w:r>
          </w:p>
        </w:tc>
        <w:tc>
          <w:tcPr>
            <w:tcW w:w="2079" w:type="dxa"/>
            <w:vMerge w:val="continue"/>
            <w:vAlign w:val="center"/>
          </w:tcPr>
          <w:p>
            <w:pPr>
              <w:widowControl/>
              <w:adjustRightInd w:val="0"/>
              <w:snapToGrid w:val="0"/>
              <w:ind w:left="122" w:leftChars="58"/>
              <w:jc w:val="center"/>
              <w:rPr>
                <w:rFonts w:hint="eastAsia" w:ascii="仿宋" w:hAnsi="仿宋" w:eastAsia="仿宋" w:cs="仿宋"/>
                <w:bCs/>
                <w:iCs/>
                <w:kern w:val="0"/>
                <w:szCs w:val="21"/>
              </w:rPr>
            </w:pPr>
          </w:p>
        </w:tc>
        <w:tc>
          <w:tcPr>
            <w:tcW w:w="2987" w:type="dxa"/>
            <w:vAlign w:val="center"/>
          </w:tcPr>
          <w:p>
            <w:pPr>
              <w:widowControl/>
              <w:adjustRightInd w:val="0"/>
              <w:snapToGrid w:val="0"/>
              <w:ind w:left="122" w:leftChars="58"/>
              <w:jc w:val="center"/>
              <w:rPr>
                <w:rFonts w:hint="eastAsia" w:ascii="仿宋" w:hAnsi="仿宋" w:eastAsia="仿宋" w:cs="仿宋"/>
                <w:bCs/>
                <w:iCs/>
                <w:kern w:val="0"/>
                <w:szCs w:val="21"/>
                <w:lang w:val="en-US" w:eastAsia="zh-CN"/>
              </w:rPr>
            </w:pPr>
            <w:r>
              <w:rPr>
                <w:rFonts w:hint="eastAsia" w:ascii="仿宋" w:hAnsi="仿宋" w:eastAsia="仿宋" w:cs="仿宋"/>
                <w:bCs/>
                <w:iCs/>
                <w:kern w:val="0"/>
                <w:szCs w:val="21"/>
                <w:lang w:val="en-US" w:eastAsia="zh-CN"/>
              </w:rPr>
              <w:t>CJ/T 490-2016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944" w:type="dxa"/>
            <w:gridSpan w:val="4"/>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bCs/>
                <w:kern w:val="0"/>
                <w:szCs w:val="21"/>
                <w:lang w:val="en-US" w:eastAsia="zh-CN"/>
              </w:rPr>
              <w:t>备注：根据实际样品，仅对适用项目进行检测。</w:t>
            </w:r>
          </w:p>
        </w:tc>
      </w:tr>
    </w:tbl>
    <w:p>
      <w:pPr>
        <w:spacing w:before="100" w:beforeAutospacing="1" w:after="100" w:afterAutospacing="1"/>
        <w:contextualSpacing/>
        <w:jc w:val="center"/>
        <w:rPr>
          <w:rFonts w:hint="eastAsia" w:ascii="仿宋" w:hAnsi="仿宋" w:eastAsia="仿宋" w:cs="仿宋"/>
          <w:b/>
          <w:color w:val="000000" w:themeColor="text1"/>
          <w:sz w:val="28"/>
          <w:szCs w:val="21"/>
          <w:lang w:eastAsia="zh-CN"/>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表</w:t>
      </w:r>
      <w:r>
        <w:rPr>
          <w:rFonts w:hint="eastAsia" w:ascii="仿宋" w:hAnsi="仿宋" w:eastAsia="仿宋" w:cs="仿宋"/>
          <w:color w:val="000000" w:themeColor="text1"/>
          <w:szCs w:val="21"/>
          <w:lang w:val="en-US" w:eastAsia="zh-CN"/>
          <w14:textFill>
            <w14:solidFill>
              <w14:schemeClr w14:val="tx1"/>
            </w14:solidFill>
          </w14:textFill>
        </w:rPr>
        <w:t>5 执行标准</w:t>
      </w:r>
      <w:r>
        <w:rPr>
          <w:rFonts w:hint="eastAsia" w:ascii="仿宋" w:hAnsi="仿宋" w:eastAsia="仿宋" w:cs="仿宋"/>
          <w:bCs/>
          <w:kern w:val="0"/>
          <w:szCs w:val="21"/>
          <w:lang w:val="en-US" w:eastAsia="zh-CN"/>
        </w:rPr>
        <w:t>CJ/T 197-2010</w:t>
      </w:r>
      <w:r>
        <w:rPr>
          <w:rFonts w:hint="eastAsia" w:ascii="仿宋" w:hAnsi="仿宋" w:eastAsia="仿宋" w:cs="仿宋"/>
          <w:color w:val="000000" w:themeColor="text1"/>
          <w:szCs w:val="21"/>
          <w:lang w:eastAsia="zh-CN"/>
          <w14:textFill>
            <w14:solidFill>
              <w14:schemeClr w14:val="tx1"/>
            </w14:solidFill>
          </w14:textFill>
        </w:rPr>
        <w:t>燃气用具连接用不锈钢波纹软管</w:t>
      </w:r>
    </w:p>
    <w:tbl>
      <w:tblPr>
        <w:tblStyle w:val="8"/>
        <w:tblW w:w="89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9"/>
        <w:gridCol w:w="3119"/>
        <w:gridCol w:w="2019"/>
        <w:gridCol w:w="30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rPr>
              <w:t>序号</w:t>
            </w:r>
          </w:p>
        </w:tc>
        <w:tc>
          <w:tcPr>
            <w:tcW w:w="3119"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rPr>
              <w:t>检验项目</w:t>
            </w:r>
          </w:p>
        </w:tc>
        <w:tc>
          <w:tcPr>
            <w:tcW w:w="2019"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kern w:val="0"/>
                <w:szCs w:val="21"/>
              </w:rPr>
              <w:t>依据标准</w:t>
            </w:r>
          </w:p>
        </w:tc>
        <w:tc>
          <w:tcPr>
            <w:tcW w:w="3007"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1</w:t>
            </w:r>
          </w:p>
        </w:tc>
        <w:tc>
          <w:tcPr>
            <w:tcW w:w="3119"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lang w:val="en-US" w:eastAsia="zh-CN"/>
              </w:rPr>
              <w:t>结构与尺寸</w:t>
            </w:r>
          </w:p>
        </w:tc>
        <w:tc>
          <w:tcPr>
            <w:tcW w:w="2019" w:type="dxa"/>
            <w:vMerge w:val="restart"/>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lang w:val="en-US" w:eastAsia="zh-CN"/>
              </w:rPr>
              <w:t>CJ/T 197-2010</w:t>
            </w:r>
          </w:p>
        </w:tc>
        <w:tc>
          <w:tcPr>
            <w:tcW w:w="3007"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lang w:val="en-US" w:eastAsia="zh-CN"/>
              </w:rPr>
              <w:t>CJ/T 197-2010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2</w:t>
            </w:r>
          </w:p>
        </w:tc>
        <w:tc>
          <w:tcPr>
            <w:tcW w:w="3119"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lang w:val="en-US" w:eastAsia="zh-CN"/>
              </w:rPr>
              <w:t>耐压性</w:t>
            </w:r>
          </w:p>
        </w:tc>
        <w:tc>
          <w:tcPr>
            <w:tcW w:w="2019" w:type="dxa"/>
            <w:vMerge w:val="continue"/>
            <w:vAlign w:val="center"/>
          </w:tcPr>
          <w:p>
            <w:pPr>
              <w:widowControl/>
              <w:adjustRightInd w:val="0"/>
              <w:snapToGrid w:val="0"/>
              <w:jc w:val="center"/>
              <w:rPr>
                <w:rFonts w:hint="eastAsia" w:ascii="仿宋" w:hAnsi="仿宋" w:eastAsia="仿宋" w:cs="仿宋"/>
                <w:bCs/>
                <w:kern w:val="0"/>
                <w:szCs w:val="21"/>
              </w:rPr>
            </w:pPr>
          </w:p>
        </w:tc>
        <w:tc>
          <w:tcPr>
            <w:tcW w:w="3007"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lang w:val="en-US" w:eastAsia="zh-CN"/>
              </w:rPr>
              <w:t>CJ/T 197-2010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3</w:t>
            </w:r>
          </w:p>
        </w:tc>
        <w:tc>
          <w:tcPr>
            <w:tcW w:w="3119"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lang w:val="en-US" w:eastAsia="zh-CN"/>
              </w:rPr>
              <w:t>气密性</w:t>
            </w:r>
          </w:p>
        </w:tc>
        <w:tc>
          <w:tcPr>
            <w:tcW w:w="2019" w:type="dxa"/>
            <w:vMerge w:val="continue"/>
            <w:vAlign w:val="center"/>
          </w:tcPr>
          <w:p>
            <w:pPr>
              <w:widowControl/>
              <w:adjustRightInd w:val="0"/>
              <w:snapToGrid w:val="0"/>
              <w:jc w:val="center"/>
              <w:rPr>
                <w:rFonts w:hint="eastAsia" w:ascii="仿宋" w:hAnsi="仿宋" w:eastAsia="仿宋" w:cs="仿宋"/>
                <w:bCs/>
                <w:kern w:val="0"/>
                <w:szCs w:val="21"/>
              </w:rPr>
            </w:pPr>
          </w:p>
        </w:tc>
        <w:tc>
          <w:tcPr>
            <w:tcW w:w="3007"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lang w:val="en-US" w:eastAsia="zh-CN"/>
              </w:rPr>
              <w:t>CJ/T 197-2010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4</w:t>
            </w:r>
          </w:p>
        </w:tc>
        <w:tc>
          <w:tcPr>
            <w:tcW w:w="3119"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lang w:val="en-US" w:eastAsia="zh-CN"/>
              </w:rPr>
              <w:t>耐热性</w:t>
            </w:r>
          </w:p>
        </w:tc>
        <w:tc>
          <w:tcPr>
            <w:tcW w:w="2019" w:type="dxa"/>
            <w:vMerge w:val="continue"/>
            <w:vAlign w:val="center"/>
          </w:tcPr>
          <w:p>
            <w:pPr>
              <w:widowControl/>
              <w:adjustRightInd w:val="0"/>
              <w:snapToGrid w:val="0"/>
              <w:jc w:val="center"/>
              <w:rPr>
                <w:rFonts w:hint="eastAsia" w:ascii="仿宋" w:hAnsi="仿宋" w:eastAsia="仿宋" w:cs="仿宋"/>
                <w:bCs/>
                <w:kern w:val="0"/>
                <w:szCs w:val="21"/>
              </w:rPr>
            </w:pPr>
          </w:p>
        </w:tc>
        <w:tc>
          <w:tcPr>
            <w:tcW w:w="3007"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lang w:val="en-US" w:eastAsia="zh-CN"/>
              </w:rPr>
              <w:t>CJ/T 197-2010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5</w:t>
            </w:r>
          </w:p>
        </w:tc>
        <w:tc>
          <w:tcPr>
            <w:tcW w:w="3119"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lang w:val="en-US" w:eastAsia="zh-CN"/>
              </w:rPr>
              <w:t>接头耐安装性</w:t>
            </w:r>
          </w:p>
        </w:tc>
        <w:tc>
          <w:tcPr>
            <w:tcW w:w="2019" w:type="dxa"/>
            <w:vMerge w:val="continue"/>
            <w:vAlign w:val="center"/>
          </w:tcPr>
          <w:p>
            <w:pPr>
              <w:widowControl/>
              <w:adjustRightInd w:val="0"/>
              <w:snapToGrid w:val="0"/>
              <w:jc w:val="center"/>
              <w:rPr>
                <w:rFonts w:hint="eastAsia" w:ascii="仿宋" w:hAnsi="仿宋" w:eastAsia="仿宋" w:cs="仿宋"/>
                <w:bCs/>
                <w:kern w:val="0"/>
                <w:szCs w:val="21"/>
              </w:rPr>
            </w:pPr>
          </w:p>
        </w:tc>
        <w:tc>
          <w:tcPr>
            <w:tcW w:w="3007"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lang w:val="en-US" w:eastAsia="zh-CN"/>
              </w:rPr>
              <w:t>CJ/T 197-2010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lang w:val="en-US" w:eastAsia="zh-CN"/>
              </w:rPr>
            </w:pPr>
            <w:r>
              <w:rPr>
                <w:rFonts w:hint="eastAsia" w:ascii="仿宋" w:hAnsi="仿宋" w:eastAsia="仿宋" w:cs="仿宋"/>
                <w:i w:val="0"/>
                <w:iCs w:val="0"/>
                <w:color w:val="000000"/>
                <w:kern w:val="0"/>
                <w:sz w:val="22"/>
                <w:szCs w:val="22"/>
                <w:u w:val="none"/>
                <w:lang w:val="en-US" w:eastAsia="zh-CN" w:bidi="ar"/>
              </w:rPr>
              <w:t>6</w:t>
            </w:r>
          </w:p>
        </w:tc>
        <w:tc>
          <w:tcPr>
            <w:tcW w:w="3119"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lang w:val="en-US" w:eastAsia="zh-CN"/>
              </w:rPr>
              <w:t>被覆层阻燃性</w:t>
            </w:r>
          </w:p>
        </w:tc>
        <w:tc>
          <w:tcPr>
            <w:tcW w:w="2019" w:type="dxa"/>
            <w:vMerge w:val="continue"/>
            <w:vAlign w:val="center"/>
          </w:tcPr>
          <w:p>
            <w:pPr>
              <w:widowControl/>
              <w:adjustRightInd w:val="0"/>
              <w:snapToGrid w:val="0"/>
              <w:jc w:val="center"/>
              <w:rPr>
                <w:rFonts w:hint="eastAsia" w:ascii="仿宋" w:hAnsi="仿宋" w:eastAsia="仿宋" w:cs="仿宋"/>
                <w:bCs/>
                <w:kern w:val="0"/>
                <w:szCs w:val="21"/>
              </w:rPr>
            </w:pPr>
          </w:p>
        </w:tc>
        <w:tc>
          <w:tcPr>
            <w:tcW w:w="3007" w:type="dxa"/>
            <w:vAlign w:val="center"/>
          </w:tcPr>
          <w:p>
            <w:pPr>
              <w:widowControl/>
              <w:adjustRightInd w:val="0"/>
              <w:snapToGrid w:val="0"/>
              <w:jc w:val="center"/>
              <w:rPr>
                <w:rFonts w:hint="eastAsia" w:ascii="仿宋" w:hAnsi="仿宋" w:eastAsia="仿宋" w:cs="仿宋"/>
                <w:bCs/>
                <w:kern w:val="0"/>
                <w:szCs w:val="21"/>
                <w:lang w:val="en-US" w:eastAsia="zh-CN"/>
              </w:rPr>
            </w:pPr>
            <w:r>
              <w:rPr>
                <w:rFonts w:hint="eastAsia" w:ascii="仿宋" w:hAnsi="仿宋" w:eastAsia="仿宋" w:cs="仿宋"/>
                <w:bCs/>
                <w:kern w:val="0"/>
                <w:szCs w:val="21"/>
                <w:lang w:val="en-US" w:eastAsia="zh-CN"/>
              </w:rPr>
              <w:t>CJ/T 197-2010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lang w:val="en-US" w:eastAsia="zh-CN"/>
              </w:rPr>
            </w:pPr>
            <w:r>
              <w:rPr>
                <w:rFonts w:hint="eastAsia" w:ascii="仿宋" w:hAnsi="仿宋" w:eastAsia="仿宋" w:cs="仿宋"/>
                <w:i w:val="0"/>
                <w:iCs w:val="0"/>
                <w:color w:val="000000"/>
                <w:kern w:val="0"/>
                <w:sz w:val="22"/>
                <w:szCs w:val="22"/>
                <w:u w:val="none"/>
                <w:lang w:val="en-US" w:eastAsia="zh-CN" w:bidi="ar"/>
              </w:rPr>
              <w:t>7</w:t>
            </w:r>
          </w:p>
        </w:tc>
        <w:tc>
          <w:tcPr>
            <w:tcW w:w="3119" w:type="dxa"/>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bCs/>
                <w:kern w:val="0"/>
                <w:szCs w:val="21"/>
                <w:lang w:val="en-US" w:eastAsia="zh-CN"/>
              </w:rPr>
              <w:t>被覆层耐冷热变化性</w:t>
            </w:r>
          </w:p>
        </w:tc>
        <w:tc>
          <w:tcPr>
            <w:tcW w:w="2019" w:type="dxa"/>
            <w:vMerge w:val="continue"/>
            <w:vAlign w:val="center"/>
          </w:tcPr>
          <w:p>
            <w:pPr>
              <w:widowControl/>
              <w:adjustRightInd w:val="0"/>
              <w:snapToGrid w:val="0"/>
              <w:jc w:val="center"/>
              <w:rPr>
                <w:rFonts w:hint="eastAsia" w:ascii="仿宋" w:hAnsi="仿宋" w:eastAsia="仿宋" w:cs="仿宋"/>
                <w:bCs/>
                <w:kern w:val="0"/>
                <w:szCs w:val="21"/>
              </w:rPr>
            </w:pPr>
          </w:p>
        </w:tc>
        <w:tc>
          <w:tcPr>
            <w:tcW w:w="3007" w:type="dxa"/>
            <w:vAlign w:val="center"/>
          </w:tcPr>
          <w:p>
            <w:pPr>
              <w:widowControl/>
              <w:adjustRightInd w:val="0"/>
              <w:snapToGrid w:val="0"/>
              <w:jc w:val="center"/>
              <w:rPr>
                <w:rFonts w:hint="eastAsia" w:ascii="仿宋" w:hAnsi="仿宋" w:eastAsia="仿宋" w:cs="仿宋"/>
                <w:bCs/>
                <w:kern w:val="0"/>
                <w:szCs w:val="21"/>
                <w:lang w:val="en-US" w:eastAsia="zh-CN"/>
              </w:rPr>
            </w:pPr>
            <w:r>
              <w:rPr>
                <w:rFonts w:hint="eastAsia" w:ascii="仿宋" w:hAnsi="仿宋" w:eastAsia="仿宋" w:cs="仿宋"/>
                <w:bCs/>
                <w:kern w:val="0"/>
                <w:szCs w:val="21"/>
                <w:lang w:val="en-US" w:eastAsia="zh-CN"/>
              </w:rPr>
              <w:t>CJ/T 197-2010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904" w:type="dxa"/>
            <w:gridSpan w:val="4"/>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bCs/>
                <w:kern w:val="0"/>
                <w:szCs w:val="21"/>
                <w:lang w:val="en-US" w:eastAsia="zh-CN"/>
              </w:rPr>
              <w:t>备注：根据实际样品，仅对适用项目进行检测。</w:t>
            </w:r>
          </w:p>
        </w:tc>
      </w:tr>
    </w:tbl>
    <w:p>
      <w:pPr>
        <w:spacing w:before="100" w:beforeAutospacing="1" w:after="100" w:afterAutospacing="1"/>
        <w:contextualSpacing/>
        <w:jc w:val="center"/>
        <w:rPr>
          <w:rFonts w:ascii="宋体" w:hAnsi="宋体" w:cs="宋体"/>
          <w:color w:val="000000" w:themeColor="text1"/>
          <w:szCs w:val="21"/>
          <w14:textFill>
            <w14:solidFill>
              <w14:schemeClr w14:val="tx1"/>
            </w14:solidFill>
          </w14:textFill>
        </w:rPr>
      </w:pPr>
    </w:p>
    <w:p>
      <w:pPr>
        <w:spacing w:before="100" w:beforeAutospacing="1" w:after="100" w:afterAutospacing="1"/>
        <w:contextualSpacing/>
        <w:jc w:val="center"/>
        <w:rPr>
          <w:rFonts w:hint="eastAsia" w:ascii="仿宋" w:hAnsi="仿宋" w:eastAsia="仿宋" w:cs="仿宋"/>
          <w:b/>
          <w:color w:val="000000" w:themeColor="text1"/>
          <w:sz w:val="28"/>
          <w:szCs w:val="21"/>
          <w:lang w:eastAsia="zh-CN"/>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表</w:t>
      </w:r>
      <w:r>
        <w:rPr>
          <w:rFonts w:hint="eastAsia" w:ascii="仿宋" w:hAnsi="仿宋" w:eastAsia="仿宋" w:cs="仿宋"/>
          <w:color w:val="000000" w:themeColor="text1"/>
          <w:szCs w:val="21"/>
          <w:lang w:val="en-US" w:eastAsia="zh-CN"/>
          <w14:textFill>
            <w14:solidFill>
              <w14:schemeClr w14:val="tx1"/>
            </w14:solidFill>
          </w14:textFill>
        </w:rPr>
        <w:t>6 执行标准</w:t>
      </w:r>
      <w:r>
        <w:rPr>
          <w:rFonts w:hint="eastAsia" w:ascii="仿宋" w:hAnsi="仿宋" w:eastAsia="仿宋" w:cs="仿宋"/>
          <w:i w:val="0"/>
          <w:iCs w:val="0"/>
          <w:color w:val="000000"/>
          <w:kern w:val="0"/>
          <w:sz w:val="21"/>
          <w:szCs w:val="21"/>
          <w:u w:val="none"/>
          <w:lang w:val="en-US" w:eastAsia="zh-CN" w:bidi="ar"/>
        </w:rPr>
        <w:t>GB/T 41317-2022</w:t>
      </w:r>
      <w:r>
        <w:rPr>
          <w:rFonts w:hint="eastAsia" w:ascii="仿宋" w:hAnsi="仿宋" w:eastAsia="仿宋" w:cs="仿宋"/>
          <w:color w:val="000000" w:themeColor="text1"/>
          <w:szCs w:val="21"/>
          <w:lang w:eastAsia="zh-CN"/>
          <w14:textFill>
            <w14:solidFill>
              <w14:schemeClr w14:val="tx1"/>
            </w14:solidFill>
          </w14:textFill>
        </w:rPr>
        <w:t>燃气用具连接用不锈钢波纹软管</w:t>
      </w:r>
    </w:p>
    <w:tbl>
      <w:tblPr>
        <w:tblStyle w:val="8"/>
        <w:tblW w:w="89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9"/>
        <w:gridCol w:w="3119"/>
        <w:gridCol w:w="1990"/>
        <w:gridCol w:w="30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rPr>
              <w:t>序号</w:t>
            </w:r>
          </w:p>
        </w:tc>
        <w:tc>
          <w:tcPr>
            <w:tcW w:w="3119"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rPr>
              <w:t>检验项目</w:t>
            </w:r>
          </w:p>
        </w:tc>
        <w:tc>
          <w:tcPr>
            <w:tcW w:w="1990"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kern w:val="0"/>
                <w:szCs w:val="21"/>
              </w:rPr>
              <w:t>依据标准</w:t>
            </w:r>
          </w:p>
        </w:tc>
        <w:tc>
          <w:tcPr>
            <w:tcW w:w="3036"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1</w:t>
            </w:r>
          </w:p>
        </w:tc>
        <w:tc>
          <w:tcPr>
            <w:tcW w:w="3119" w:type="dxa"/>
            <w:vAlign w:val="center"/>
          </w:tcPr>
          <w:p>
            <w:pPr>
              <w:keepNext w:val="0"/>
              <w:keepLines w:val="0"/>
              <w:pageBreakBefore w:val="0"/>
              <w:widowControl/>
              <w:suppressLineNumbers w:val="0"/>
              <w:kinsoku/>
              <w:wordWrap/>
              <w:overflowPunct/>
              <w:topLinePunct w:val="0"/>
              <w:autoSpaceDE/>
              <w:autoSpaceDN/>
              <w:bidi w:val="0"/>
              <w:adjustRightInd/>
              <w:spacing w:line="340" w:lineRule="exact"/>
              <w:jc w:val="center"/>
              <w:textAlignment w:val="auto"/>
              <w:rPr>
                <w:rFonts w:hint="eastAsia" w:ascii="仿宋" w:hAnsi="仿宋" w:eastAsia="仿宋" w:cs="仿宋"/>
                <w:color w:val="auto"/>
                <w:kern w:val="2"/>
                <w:sz w:val="21"/>
                <w:szCs w:val="21"/>
                <w:lang w:val="en-US" w:eastAsia="zh-CN" w:bidi="ar-SA"/>
              </w:rPr>
            </w:pPr>
            <w:r>
              <w:rPr>
                <w:rFonts w:hint="eastAsia" w:ascii="仿宋" w:hAnsi="仿宋" w:eastAsia="仿宋" w:cs="仿宋"/>
                <w:i w:val="0"/>
                <w:iCs w:val="0"/>
                <w:color w:val="000000"/>
                <w:kern w:val="0"/>
                <w:sz w:val="21"/>
                <w:szCs w:val="21"/>
                <w:u w:val="none"/>
                <w:lang w:val="en-US" w:eastAsia="zh-CN" w:bidi="ar"/>
              </w:rPr>
              <w:t>结构与尺寸</w:t>
            </w:r>
          </w:p>
        </w:tc>
        <w:tc>
          <w:tcPr>
            <w:tcW w:w="1990" w:type="dxa"/>
            <w:vMerge w:val="restart"/>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i w:val="0"/>
                <w:iCs w:val="0"/>
                <w:color w:val="000000"/>
                <w:kern w:val="0"/>
                <w:sz w:val="21"/>
                <w:szCs w:val="21"/>
                <w:u w:val="none"/>
                <w:lang w:val="en-US" w:eastAsia="zh-CN" w:bidi="ar"/>
              </w:rPr>
              <w:t>GB/T 41317-2022</w:t>
            </w:r>
          </w:p>
        </w:tc>
        <w:tc>
          <w:tcPr>
            <w:tcW w:w="3036" w:type="dxa"/>
            <w:vAlign w:val="center"/>
          </w:tcPr>
          <w:p>
            <w:pPr>
              <w:keepNext w:val="0"/>
              <w:keepLines w:val="0"/>
              <w:pageBreakBefore w:val="0"/>
              <w:widowControl/>
              <w:suppressLineNumbers w:val="0"/>
              <w:kinsoku/>
              <w:wordWrap/>
              <w:overflowPunct/>
              <w:topLinePunct w:val="0"/>
              <w:autoSpaceDE/>
              <w:autoSpaceDN/>
              <w:bidi w:val="0"/>
              <w:adjustRightInd/>
              <w:spacing w:line="340" w:lineRule="exact"/>
              <w:jc w:val="center"/>
              <w:textAlignment w:val="auto"/>
              <w:rPr>
                <w:rFonts w:hint="eastAsia" w:ascii="仿宋" w:hAnsi="仿宋" w:eastAsia="仿宋" w:cs="仿宋"/>
                <w:i w:val="0"/>
                <w:color w:val="000000"/>
                <w:kern w:val="2"/>
                <w:sz w:val="21"/>
                <w:szCs w:val="21"/>
                <w:u w:val="none"/>
                <w:lang w:val="en-US" w:eastAsia="zh-CN" w:bidi="ar-SA"/>
              </w:rPr>
            </w:pPr>
            <w:r>
              <w:rPr>
                <w:rFonts w:hint="eastAsia" w:ascii="仿宋" w:hAnsi="仿宋" w:eastAsia="仿宋" w:cs="仿宋"/>
                <w:i w:val="0"/>
                <w:iCs w:val="0"/>
                <w:color w:val="000000"/>
                <w:kern w:val="0"/>
                <w:sz w:val="21"/>
                <w:szCs w:val="21"/>
                <w:u w:val="none"/>
                <w:lang w:val="en-US" w:eastAsia="zh-CN" w:bidi="ar"/>
              </w:rPr>
              <w:t>GB/T 41317-2022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2</w:t>
            </w:r>
          </w:p>
        </w:tc>
        <w:tc>
          <w:tcPr>
            <w:tcW w:w="3119" w:type="dxa"/>
            <w:vAlign w:val="center"/>
          </w:tcPr>
          <w:p>
            <w:pPr>
              <w:keepNext w:val="0"/>
              <w:keepLines w:val="0"/>
              <w:pageBreakBefore w:val="0"/>
              <w:widowControl/>
              <w:suppressLineNumbers w:val="0"/>
              <w:kinsoku/>
              <w:wordWrap/>
              <w:overflowPunct/>
              <w:topLinePunct w:val="0"/>
              <w:autoSpaceDE/>
              <w:autoSpaceDN/>
              <w:bidi w:val="0"/>
              <w:adjustRightInd/>
              <w:spacing w:line="340" w:lineRule="exact"/>
              <w:jc w:val="center"/>
              <w:textAlignment w:val="auto"/>
              <w:rPr>
                <w:rFonts w:hint="eastAsia" w:ascii="仿宋" w:hAnsi="仿宋" w:eastAsia="仿宋" w:cs="仿宋"/>
                <w:color w:val="auto"/>
                <w:kern w:val="2"/>
                <w:sz w:val="21"/>
                <w:szCs w:val="21"/>
                <w:lang w:val="en-US" w:eastAsia="zh-CN" w:bidi="ar-SA"/>
              </w:rPr>
            </w:pPr>
            <w:r>
              <w:rPr>
                <w:rFonts w:hint="eastAsia" w:ascii="仿宋" w:hAnsi="仿宋" w:eastAsia="仿宋" w:cs="仿宋"/>
                <w:i w:val="0"/>
                <w:iCs w:val="0"/>
                <w:color w:val="000000"/>
                <w:kern w:val="0"/>
                <w:sz w:val="21"/>
                <w:szCs w:val="21"/>
                <w:u w:val="none"/>
                <w:lang w:val="en-US" w:eastAsia="zh-CN" w:bidi="ar"/>
              </w:rPr>
              <w:t>软管耐压性</w:t>
            </w:r>
          </w:p>
        </w:tc>
        <w:tc>
          <w:tcPr>
            <w:tcW w:w="1990" w:type="dxa"/>
            <w:vMerge w:val="continue"/>
            <w:vAlign w:val="center"/>
          </w:tcPr>
          <w:p>
            <w:pPr>
              <w:widowControl/>
              <w:adjustRightInd w:val="0"/>
              <w:snapToGrid w:val="0"/>
              <w:jc w:val="center"/>
              <w:rPr>
                <w:rFonts w:hint="eastAsia" w:ascii="仿宋" w:hAnsi="仿宋" w:eastAsia="仿宋" w:cs="仿宋"/>
                <w:bCs/>
                <w:kern w:val="0"/>
                <w:szCs w:val="21"/>
              </w:rPr>
            </w:pPr>
          </w:p>
        </w:tc>
        <w:tc>
          <w:tcPr>
            <w:tcW w:w="3036" w:type="dxa"/>
            <w:vAlign w:val="center"/>
          </w:tcPr>
          <w:p>
            <w:pPr>
              <w:keepNext w:val="0"/>
              <w:keepLines w:val="0"/>
              <w:pageBreakBefore w:val="0"/>
              <w:widowControl/>
              <w:suppressLineNumbers w:val="0"/>
              <w:kinsoku/>
              <w:wordWrap/>
              <w:overflowPunct/>
              <w:topLinePunct w:val="0"/>
              <w:autoSpaceDE/>
              <w:autoSpaceDN/>
              <w:bidi w:val="0"/>
              <w:adjustRightInd/>
              <w:spacing w:line="340" w:lineRule="exact"/>
              <w:jc w:val="center"/>
              <w:textAlignment w:val="auto"/>
              <w:rPr>
                <w:rFonts w:hint="eastAsia" w:ascii="仿宋" w:hAnsi="仿宋" w:eastAsia="仿宋" w:cs="仿宋"/>
                <w:bCs/>
                <w:color w:val="auto"/>
                <w:kern w:val="2"/>
                <w:sz w:val="21"/>
                <w:szCs w:val="21"/>
                <w:lang w:val="en-US" w:eastAsia="zh-CN" w:bidi="ar-SA"/>
              </w:rPr>
            </w:pPr>
            <w:r>
              <w:rPr>
                <w:rFonts w:hint="eastAsia" w:ascii="仿宋" w:hAnsi="仿宋" w:eastAsia="仿宋" w:cs="仿宋"/>
                <w:i w:val="0"/>
                <w:iCs w:val="0"/>
                <w:color w:val="000000"/>
                <w:kern w:val="0"/>
                <w:sz w:val="21"/>
                <w:szCs w:val="21"/>
                <w:u w:val="none"/>
                <w:lang w:val="en-US" w:eastAsia="zh-CN" w:bidi="ar"/>
              </w:rPr>
              <w:t>GB/T 41317-2022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3</w:t>
            </w:r>
          </w:p>
        </w:tc>
        <w:tc>
          <w:tcPr>
            <w:tcW w:w="3119" w:type="dxa"/>
            <w:vAlign w:val="center"/>
          </w:tcPr>
          <w:p>
            <w:pPr>
              <w:keepNext w:val="0"/>
              <w:keepLines w:val="0"/>
              <w:pageBreakBefore w:val="0"/>
              <w:widowControl/>
              <w:suppressLineNumbers w:val="0"/>
              <w:kinsoku/>
              <w:wordWrap/>
              <w:overflowPunct/>
              <w:topLinePunct w:val="0"/>
              <w:autoSpaceDE/>
              <w:autoSpaceDN/>
              <w:bidi w:val="0"/>
              <w:adjustRightInd/>
              <w:spacing w:line="340" w:lineRule="exact"/>
              <w:jc w:val="center"/>
              <w:textAlignment w:val="auto"/>
              <w:rPr>
                <w:rFonts w:hint="eastAsia" w:ascii="仿宋" w:hAnsi="仿宋" w:eastAsia="仿宋" w:cs="仿宋"/>
                <w:color w:val="auto"/>
                <w:kern w:val="2"/>
                <w:sz w:val="21"/>
                <w:szCs w:val="21"/>
                <w:lang w:val="en-US" w:eastAsia="zh-CN" w:bidi="ar-SA"/>
              </w:rPr>
            </w:pPr>
            <w:r>
              <w:rPr>
                <w:rFonts w:hint="eastAsia" w:ascii="仿宋" w:hAnsi="仿宋" w:eastAsia="仿宋" w:cs="仿宋"/>
                <w:i w:val="0"/>
                <w:iCs w:val="0"/>
                <w:color w:val="000000"/>
                <w:kern w:val="0"/>
                <w:sz w:val="21"/>
                <w:szCs w:val="21"/>
                <w:u w:val="none"/>
                <w:lang w:val="en-US" w:eastAsia="zh-CN" w:bidi="ar"/>
              </w:rPr>
              <w:t>软管气密性</w:t>
            </w:r>
          </w:p>
        </w:tc>
        <w:tc>
          <w:tcPr>
            <w:tcW w:w="1990" w:type="dxa"/>
            <w:vMerge w:val="continue"/>
            <w:vAlign w:val="center"/>
          </w:tcPr>
          <w:p>
            <w:pPr>
              <w:widowControl/>
              <w:adjustRightInd w:val="0"/>
              <w:snapToGrid w:val="0"/>
              <w:jc w:val="center"/>
              <w:rPr>
                <w:rFonts w:hint="eastAsia" w:ascii="仿宋" w:hAnsi="仿宋" w:eastAsia="仿宋" w:cs="仿宋"/>
                <w:bCs/>
                <w:kern w:val="0"/>
                <w:szCs w:val="21"/>
              </w:rPr>
            </w:pPr>
          </w:p>
        </w:tc>
        <w:tc>
          <w:tcPr>
            <w:tcW w:w="3036" w:type="dxa"/>
            <w:vAlign w:val="center"/>
          </w:tcPr>
          <w:p>
            <w:pPr>
              <w:keepNext w:val="0"/>
              <w:keepLines w:val="0"/>
              <w:pageBreakBefore w:val="0"/>
              <w:widowControl/>
              <w:suppressLineNumbers w:val="0"/>
              <w:kinsoku/>
              <w:wordWrap/>
              <w:overflowPunct/>
              <w:topLinePunct w:val="0"/>
              <w:autoSpaceDE/>
              <w:autoSpaceDN/>
              <w:bidi w:val="0"/>
              <w:adjustRightInd/>
              <w:spacing w:line="340" w:lineRule="exact"/>
              <w:jc w:val="center"/>
              <w:textAlignment w:val="auto"/>
              <w:rPr>
                <w:rFonts w:hint="eastAsia" w:ascii="仿宋" w:hAnsi="仿宋" w:eastAsia="仿宋" w:cs="仿宋"/>
                <w:bCs/>
                <w:color w:val="auto"/>
                <w:kern w:val="2"/>
                <w:sz w:val="21"/>
                <w:szCs w:val="21"/>
                <w:lang w:val="en-US" w:eastAsia="zh-CN" w:bidi="ar-SA"/>
              </w:rPr>
            </w:pPr>
            <w:r>
              <w:rPr>
                <w:rFonts w:hint="eastAsia" w:ascii="仿宋" w:hAnsi="仿宋" w:eastAsia="仿宋" w:cs="仿宋"/>
                <w:i w:val="0"/>
                <w:iCs w:val="0"/>
                <w:color w:val="000000"/>
                <w:kern w:val="0"/>
                <w:sz w:val="21"/>
                <w:szCs w:val="21"/>
                <w:u w:val="none"/>
                <w:lang w:val="en-US" w:eastAsia="zh-CN" w:bidi="ar"/>
              </w:rPr>
              <w:t>GB/T 41317-2022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4</w:t>
            </w:r>
          </w:p>
        </w:tc>
        <w:tc>
          <w:tcPr>
            <w:tcW w:w="3119" w:type="dxa"/>
            <w:vAlign w:val="center"/>
          </w:tcPr>
          <w:p>
            <w:pPr>
              <w:keepNext w:val="0"/>
              <w:keepLines w:val="0"/>
              <w:pageBreakBefore w:val="0"/>
              <w:widowControl/>
              <w:suppressLineNumbers w:val="0"/>
              <w:kinsoku/>
              <w:wordWrap/>
              <w:overflowPunct/>
              <w:topLinePunct w:val="0"/>
              <w:autoSpaceDE/>
              <w:autoSpaceDN/>
              <w:bidi w:val="0"/>
              <w:adjustRightInd/>
              <w:spacing w:line="340" w:lineRule="exact"/>
              <w:jc w:val="center"/>
              <w:textAlignment w:val="auto"/>
              <w:rPr>
                <w:rFonts w:hint="eastAsia" w:ascii="仿宋" w:hAnsi="仿宋" w:eastAsia="仿宋" w:cs="仿宋"/>
                <w:bCs/>
                <w:color w:val="auto"/>
                <w:kern w:val="2"/>
                <w:sz w:val="21"/>
                <w:szCs w:val="21"/>
                <w:lang w:val="en-US" w:eastAsia="zh-CN" w:bidi="ar-SA"/>
              </w:rPr>
            </w:pPr>
            <w:r>
              <w:rPr>
                <w:rFonts w:hint="eastAsia" w:ascii="仿宋" w:hAnsi="仿宋" w:eastAsia="仿宋" w:cs="仿宋"/>
                <w:i w:val="0"/>
                <w:iCs w:val="0"/>
                <w:color w:val="000000"/>
                <w:kern w:val="0"/>
                <w:sz w:val="21"/>
                <w:szCs w:val="21"/>
                <w:u w:val="none"/>
                <w:lang w:val="en-US" w:eastAsia="zh-CN" w:bidi="ar"/>
              </w:rPr>
              <w:t>软管耐热性</w:t>
            </w:r>
          </w:p>
        </w:tc>
        <w:tc>
          <w:tcPr>
            <w:tcW w:w="1990" w:type="dxa"/>
            <w:vMerge w:val="continue"/>
            <w:vAlign w:val="center"/>
          </w:tcPr>
          <w:p>
            <w:pPr>
              <w:widowControl/>
              <w:adjustRightInd w:val="0"/>
              <w:snapToGrid w:val="0"/>
              <w:jc w:val="center"/>
              <w:rPr>
                <w:rFonts w:hint="eastAsia" w:ascii="仿宋" w:hAnsi="仿宋" w:eastAsia="仿宋" w:cs="仿宋"/>
                <w:bCs/>
                <w:kern w:val="0"/>
                <w:szCs w:val="21"/>
              </w:rPr>
            </w:pPr>
          </w:p>
        </w:tc>
        <w:tc>
          <w:tcPr>
            <w:tcW w:w="3036" w:type="dxa"/>
            <w:vAlign w:val="center"/>
          </w:tcPr>
          <w:p>
            <w:pPr>
              <w:keepNext w:val="0"/>
              <w:keepLines w:val="0"/>
              <w:pageBreakBefore w:val="0"/>
              <w:widowControl/>
              <w:suppressLineNumbers w:val="0"/>
              <w:kinsoku/>
              <w:wordWrap/>
              <w:overflowPunct/>
              <w:topLinePunct w:val="0"/>
              <w:autoSpaceDE/>
              <w:autoSpaceDN/>
              <w:bidi w:val="0"/>
              <w:adjustRightInd/>
              <w:spacing w:line="340" w:lineRule="exact"/>
              <w:jc w:val="center"/>
              <w:textAlignment w:val="auto"/>
              <w:rPr>
                <w:rFonts w:hint="eastAsia" w:ascii="仿宋" w:hAnsi="仿宋" w:eastAsia="仿宋" w:cs="仿宋"/>
                <w:i w:val="0"/>
                <w:color w:val="000000"/>
                <w:kern w:val="2"/>
                <w:sz w:val="21"/>
                <w:szCs w:val="21"/>
                <w:u w:val="none"/>
                <w:lang w:val="en-US" w:eastAsia="zh-CN" w:bidi="ar-SA"/>
              </w:rPr>
            </w:pPr>
            <w:r>
              <w:rPr>
                <w:rFonts w:hint="eastAsia" w:ascii="仿宋" w:hAnsi="仿宋" w:eastAsia="仿宋" w:cs="仿宋"/>
                <w:i w:val="0"/>
                <w:iCs w:val="0"/>
                <w:color w:val="000000"/>
                <w:kern w:val="0"/>
                <w:sz w:val="21"/>
                <w:szCs w:val="21"/>
                <w:u w:val="none"/>
                <w:lang w:val="en-US" w:eastAsia="zh-CN" w:bidi="ar"/>
              </w:rPr>
              <w:t>GB/T 41317-2022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5</w:t>
            </w:r>
          </w:p>
        </w:tc>
        <w:tc>
          <w:tcPr>
            <w:tcW w:w="3119" w:type="dxa"/>
            <w:vAlign w:val="center"/>
          </w:tcPr>
          <w:p>
            <w:pPr>
              <w:keepNext w:val="0"/>
              <w:keepLines w:val="0"/>
              <w:pageBreakBefore w:val="0"/>
              <w:widowControl/>
              <w:suppressLineNumbers w:val="0"/>
              <w:kinsoku/>
              <w:wordWrap/>
              <w:overflowPunct/>
              <w:topLinePunct w:val="0"/>
              <w:autoSpaceDE/>
              <w:autoSpaceDN/>
              <w:bidi w:val="0"/>
              <w:adjustRightInd/>
              <w:spacing w:line="340" w:lineRule="exact"/>
              <w:jc w:val="center"/>
              <w:textAlignment w:val="auto"/>
              <w:rPr>
                <w:rFonts w:hint="eastAsia" w:ascii="仿宋" w:hAnsi="仿宋" w:eastAsia="仿宋" w:cs="仿宋"/>
                <w:bCs/>
                <w:color w:val="auto"/>
                <w:kern w:val="2"/>
                <w:sz w:val="21"/>
                <w:szCs w:val="21"/>
                <w:lang w:val="en-US" w:eastAsia="zh-CN" w:bidi="ar-SA"/>
              </w:rPr>
            </w:pPr>
            <w:r>
              <w:rPr>
                <w:rFonts w:hint="eastAsia" w:ascii="仿宋" w:hAnsi="仿宋" w:eastAsia="仿宋" w:cs="仿宋"/>
                <w:i w:val="0"/>
                <w:iCs w:val="0"/>
                <w:color w:val="000000"/>
                <w:kern w:val="0"/>
                <w:sz w:val="21"/>
                <w:szCs w:val="21"/>
                <w:u w:val="none"/>
                <w:lang w:val="en-US" w:eastAsia="zh-CN" w:bidi="ar"/>
              </w:rPr>
              <w:t>软管接头耐安装性</w:t>
            </w:r>
          </w:p>
        </w:tc>
        <w:tc>
          <w:tcPr>
            <w:tcW w:w="1990" w:type="dxa"/>
            <w:vMerge w:val="continue"/>
            <w:vAlign w:val="center"/>
          </w:tcPr>
          <w:p>
            <w:pPr>
              <w:widowControl/>
              <w:adjustRightInd w:val="0"/>
              <w:snapToGrid w:val="0"/>
              <w:jc w:val="center"/>
              <w:rPr>
                <w:rFonts w:hint="eastAsia" w:ascii="仿宋" w:hAnsi="仿宋" w:eastAsia="仿宋" w:cs="仿宋"/>
                <w:bCs/>
                <w:kern w:val="0"/>
                <w:szCs w:val="21"/>
              </w:rPr>
            </w:pPr>
          </w:p>
        </w:tc>
        <w:tc>
          <w:tcPr>
            <w:tcW w:w="3036" w:type="dxa"/>
            <w:vAlign w:val="center"/>
          </w:tcPr>
          <w:p>
            <w:pPr>
              <w:keepNext w:val="0"/>
              <w:keepLines w:val="0"/>
              <w:pageBreakBefore w:val="0"/>
              <w:widowControl/>
              <w:suppressLineNumbers w:val="0"/>
              <w:kinsoku/>
              <w:wordWrap/>
              <w:overflowPunct/>
              <w:topLinePunct w:val="0"/>
              <w:autoSpaceDE/>
              <w:autoSpaceDN/>
              <w:bidi w:val="0"/>
              <w:adjustRightInd/>
              <w:spacing w:line="340" w:lineRule="exact"/>
              <w:jc w:val="center"/>
              <w:textAlignment w:val="auto"/>
              <w:rPr>
                <w:rFonts w:hint="eastAsia" w:ascii="仿宋" w:hAnsi="仿宋" w:eastAsia="仿宋" w:cs="仿宋"/>
                <w:i w:val="0"/>
                <w:color w:val="000000"/>
                <w:kern w:val="2"/>
                <w:sz w:val="21"/>
                <w:szCs w:val="21"/>
                <w:u w:val="none"/>
                <w:lang w:val="en-US" w:eastAsia="zh-CN" w:bidi="ar-SA"/>
              </w:rPr>
            </w:pPr>
            <w:r>
              <w:rPr>
                <w:rFonts w:hint="eastAsia" w:ascii="仿宋" w:hAnsi="仿宋" w:eastAsia="仿宋" w:cs="仿宋"/>
                <w:i w:val="0"/>
                <w:iCs w:val="0"/>
                <w:color w:val="000000"/>
                <w:kern w:val="0"/>
                <w:sz w:val="21"/>
                <w:szCs w:val="21"/>
                <w:u w:val="none"/>
                <w:lang w:val="en-US" w:eastAsia="zh-CN" w:bidi="ar"/>
              </w:rPr>
              <w:t>GB/T 41317-2022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lang w:val="en-US" w:eastAsia="zh-CN"/>
              </w:rPr>
            </w:pPr>
            <w:r>
              <w:rPr>
                <w:rFonts w:hint="eastAsia" w:ascii="仿宋" w:hAnsi="仿宋" w:eastAsia="仿宋" w:cs="仿宋"/>
                <w:i w:val="0"/>
                <w:iCs w:val="0"/>
                <w:color w:val="000000"/>
                <w:kern w:val="0"/>
                <w:sz w:val="22"/>
                <w:szCs w:val="22"/>
                <w:u w:val="none"/>
                <w:lang w:val="en-US" w:eastAsia="zh-CN" w:bidi="ar"/>
              </w:rPr>
              <w:t>6</w:t>
            </w:r>
          </w:p>
        </w:tc>
        <w:tc>
          <w:tcPr>
            <w:tcW w:w="3119" w:type="dxa"/>
            <w:vAlign w:val="center"/>
          </w:tcPr>
          <w:p>
            <w:pPr>
              <w:keepNext w:val="0"/>
              <w:keepLines w:val="0"/>
              <w:pageBreakBefore w:val="0"/>
              <w:widowControl/>
              <w:suppressLineNumbers w:val="0"/>
              <w:kinsoku/>
              <w:wordWrap/>
              <w:overflowPunct/>
              <w:topLinePunct w:val="0"/>
              <w:autoSpaceDE/>
              <w:autoSpaceDN/>
              <w:bidi w:val="0"/>
              <w:adjustRightInd/>
              <w:spacing w:line="340" w:lineRule="exact"/>
              <w:jc w:val="center"/>
              <w:textAlignment w:val="auto"/>
              <w:rPr>
                <w:rFonts w:hint="eastAsia" w:ascii="仿宋" w:hAnsi="仿宋" w:eastAsia="仿宋" w:cs="仿宋"/>
                <w:bCs/>
                <w:color w:val="auto"/>
                <w:kern w:val="2"/>
                <w:sz w:val="21"/>
                <w:szCs w:val="21"/>
                <w:lang w:val="en-US" w:eastAsia="zh-CN" w:bidi="ar-SA"/>
              </w:rPr>
            </w:pPr>
            <w:r>
              <w:rPr>
                <w:rFonts w:hint="eastAsia" w:ascii="仿宋" w:hAnsi="仿宋" w:eastAsia="仿宋" w:cs="仿宋"/>
                <w:i w:val="0"/>
                <w:iCs w:val="0"/>
                <w:color w:val="000000"/>
                <w:kern w:val="0"/>
                <w:sz w:val="21"/>
                <w:szCs w:val="21"/>
                <w:u w:val="none"/>
                <w:lang w:val="en-US" w:eastAsia="zh-CN" w:bidi="ar"/>
              </w:rPr>
              <w:t>软管被覆层阻燃性</w:t>
            </w:r>
          </w:p>
        </w:tc>
        <w:tc>
          <w:tcPr>
            <w:tcW w:w="1990" w:type="dxa"/>
            <w:vMerge w:val="continue"/>
            <w:vAlign w:val="center"/>
          </w:tcPr>
          <w:p>
            <w:pPr>
              <w:widowControl/>
              <w:adjustRightInd w:val="0"/>
              <w:snapToGrid w:val="0"/>
              <w:jc w:val="center"/>
              <w:rPr>
                <w:rFonts w:hint="eastAsia" w:ascii="仿宋" w:hAnsi="仿宋" w:eastAsia="仿宋" w:cs="仿宋"/>
                <w:bCs/>
                <w:kern w:val="0"/>
                <w:szCs w:val="21"/>
              </w:rPr>
            </w:pPr>
          </w:p>
        </w:tc>
        <w:tc>
          <w:tcPr>
            <w:tcW w:w="3036" w:type="dxa"/>
            <w:vAlign w:val="center"/>
          </w:tcPr>
          <w:p>
            <w:pPr>
              <w:keepNext w:val="0"/>
              <w:keepLines w:val="0"/>
              <w:pageBreakBefore w:val="0"/>
              <w:widowControl/>
              <w:suppressLineNumbers w:val="0"/>
              <w:kinsoku/>
              <w:wordWrap/>
              <w:overflowPunct/>
              <w:topLinePunct w:val="0"/>
              <w:autoSpaceDE/>
              <w:autoSpaceDN/>
              <w:bidi w:val="0"/>
              <w:adjustRightInd/>
              <w:spacing w:line="340" w:lineRule="exact"/>
              <w:jc w:val="center"/>
              <w:textAlignment w:val="auto"/>
              <w:rPr>
                <w:rFonts w:hint="eastAsia" w:ascii="仿宋" w:hAnsi="仿宋" w:eastAsia="仿宋" w:cs="仿宋"/>
                <w:i w:val="0"/>
                <w:color w:val="000000"/>
                <w:kern w:val="2"/>
                <w:sz w:val="21"/>
                <w:szCs w:val="21"/>
                <w:u w:val="none"/>
                <w:lang w:val="en-US" w:eastAsia="zh-CN" w:bidi="ar-SA"/>
              </w:rPr>
            </w:pPr>
            <w:r>
              <w:rPr>
                <w:rFonts w:hint="eastAsia" w:ascii="仿宋" w:hAnsi="仿宋" w:eastAsia="仿宋" w:cs="仿宋"/>
                <w:i w:val="0"/>
                <w:iCs w:val="0"/>
                <w:color w:val="000000"/>
                <w:kern w:val="0"/>
                <w:sz w:val="21"/>
                <w:szCs w:val="21"/>
                <w:u w:val="none"/>
                <w:lang w:val="en-US" w:eastAsia="zh-CN" w:bidi="ar"/>
              </w:rPr>
              <w:t>GB/T 41317-2022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lang w:val="en-US" w:eastAsia="zh-CN"/>
              </w:rPr>
            </w:pPr>
            <w:r>
              <w:rPr>
                <w:rFonts w:hint="eastAsia" w:ascii="仿宋" w:hAnsi="仿宋" w:eastAsia="仿宋" w:cs="仿宋"/>
                <w:i w:val="0"/>
                <w:iCs w:val="0"/>
                <w:color w:val="000000"/>
                <w:kern w:val="0"/>
                <w:sz w:val="22"/>
                <w:szCs w:val="22"/>
                <w:u w:val="none"/>
                <w:lang w:val="en-US" w:eastAsia="zh-CN" w:bidi="ar"/>
              </w:rPr>
              <w:t>7</w:t>
            </w:r>
          </w:p>
        </w:tc>
        <w:tc>
          <w:tcPr>
            <w:tcW w:w="3119" w:type="dxa"/>
            <w:vAlign w:val="center"/>
          </w:tcPr>
          <w:p>
            <w:pPr>
              <w:keepNext w:val="0"/>
              <w:keepLines w:val="0"/>
              <w:pageBreakBefore w:val="0"/>
              <w:widowControl/>
              <w:suppressLineNumbers w:val="0"/>
              <w:kinsoku/>
              <w:wordWrap/>
              <w:overflowPunct/>
              <w:topLinePunct w:val="0"/>
              <w:autoSpaceDE/>
              <w:autoSpaceDN/>
              <w:bidi w:val="0"/>
              <w:adjustRightInd/>
              <w:spacing w:line="340" w:lineRule="exact"/>
              <w:jc w:val="center"/>
              <w:textAlignment w:val="auto"/>
              <w:rPr>
                <w:rFonts w:hint="eastAsia" w:ascii="仿宋" w:hAnsi="仿宋" w:eastAsia="仿宋" w:cs="仿宋"/>
                <w:bCs/>
                <w:color w:val="auto"/>
                <w:kern w:val="2"/>
                <w:sz w:val="21"/>
                <w:szCs w:val="21"/>
                <w:lang w:val="en-US" w:eastAsia="zh-CN" w:bidi="ar-SA"/>
              </w:rPr>
            </w:pPr>
            <w:r>
              <w:rPr>
                <w:rFonts w:hint="eastAsia" w:ascii="仿宋" w:hAnsi="仿宋" w:eastAsia="仿宋" w:cs="仿宋"/>
                <w:i w:val="0"/>
                <w:iCs w:val="0"/>
                <w:color w:val="000000"/>
                <w:kern w:val="0"/>
                <w:sz w:val="21"/>
                <w:szCs w:val="21"/>
                <w:u w:val="none"/>
                <w:lang w:val="en-US" w:eastAsia="zh-CN" w:bidi="ar"/>
              </w:rPr>
              <w:t>软管被覆层耐冷热变化性</w:t>
            </w:r>
          </w:p>
        </w:tc>
        <w:tc>
          <w:tcPr>
            <w:tcW w:w="1990" w:type="dxa"/>
            <w:vMerge w:val="continue"/>
            <w:vAlign w:val="center"/>
          </w:tcPr>
          <w:p>
            <w:pPr>
              <w:widowControl/>
              <w:adjustRightInd w:val="0"/>
              <w:snapToGrid w:val="0"/>
              <w:jc w:val="center"/>
              <w:rPr>
                <w:rFonts w:hint="eastAsia" w:ascii="仿宋" w:hAnsi="仿宋" w:eastAsia="仿宋" w:cs="仿宋"/>
                <w:bCs/>
                <w:kern w:val="0"/>
                <w:szCs w:val="21"/>
              </w:rPr>
            </w:pPr>
          </w:p>
        </w:tc>
        <w:tc>
          <w:tcPr>
            <w:tcW w:w="3036" w:type="dxa"/>
            <w:vAlign w:val="center"/>
          </w:tcPr>
          <w:p>
            <w:pPr>
              <w:keepNext w:val="0"/>
              <w:keepLines w:val="0"/>
              <w:pageBreakBefore w:val="0"/>
              <w:widowControl/>
              <w:suppressLineNumbers w:val="0"/>
              <w:kinsoku/>
              <w:wordWrap/>
              <w:overflowPunct/>
              <w:topLinePunct w:val="0"/>
              <w:autoSpaceDE/>
              <w:autoSpaceDN/>
              <w:bidi w:val="0"/>
              <w:adjustRightInd/>
              <w:spacing w:line="340" w:lineRule="exact"/>
              <w:jc w:val="center"/>
              <w:textAlignment w:val="auto"/>
              <w:rPr>
                <w:rFonts w:hint="eastAsia" w:ascii="仿宋" w:hAnsi="仿宋" w:eastAsia="仿宋" w:cs="仿宋"/>
                <w:i w:val="0"/>
                <w:color w:val="000000"/>
                <w:kern w:val="2"/>
                <w:sz w:val="21"/>
                <w:szCs w:val="21"/>
                <w:u w:val="none"/>
                <w:lang w:val="en-US" w:eastAsia="zh-CN" w:bidi="ar-SA"/>
              </w:rPr>
            </w:pPr>
            <w:r>
              <w:rPr>
                <w:rFonts w:hint="eastAsia" w:ascii="仿宋" w:hAnsi="仿宋" w:eastAsia="仿宋" w:cs="仿宋"/>
                <w:i w:val="0"/>
                <w:iCs w:val="0"/>
                <w:color w:val="000000"/>
                <w:kern w:val="0"/>
                <w:sz w:val="21"/>
                <w:szCs w:val="21"/>
                <w:u w:val="none"/>
                <w:lang w:val="en-US" w:eastAsia="zh-CN" w:bidi="ar"/>
              </w:rPr>
              <w:t>GB/T 41317-2022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904" w:type="dxa"/>
            <w:gridSpan w:val="4"/>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bCs/>
                <w:kern w:val="0"/>
                <w:szCs w:val="21"/>
                <w:lang w:val="en-US" w:eastAsia="zh-CN"/>
              </w:rPr>
              <w:t>备注：根据实际样品，仅对适用项目进行检测。</w:t>
            </w:r>
          </w:p>
        </w:tc>
      </w:tr>
    </w:tbl>
    <w:p>
      <w:pPr>
        <w:pStyle w:val="3"/>
        <w:rPr>
          <w:rFonts w:ascii="宋体" w:hAnsi="宋体" w:cs="宋体"/>
          <w:color w:val="000000" w:themeColor="text1"/>
          <w:szCs w:val="21"/>
          <w14:textFill>
            <w14:solidFill>
              <w14:schemeClr w14:val="tx1"/>
            </w14:solidFill>
          </w14:textFill>
        </w:rPr>
      </w:pPr>
    </w:p>
    <w:p>
      <w:pPr>
        <w:rPr>
          <w:rFonts w:ascii="宋体" w:hAnsi="宋体" w:cs="宋体"/>
          <w:color w:val="000000" w:themeColor="text1"/>
          <w:szCs w:val="21"/>
          <w14:textFill>
            <w14:solidFill>
              <w14:schemeClr w14:val="tx1"/>
            </w14:solidFill>
          </w14:textFill>
        </w:rPr>
      </w:pPr>
    </w:p>
    <w:p>
      <w:pPr>
        <w:pStyle w:val="3"/>
      </w:pP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6.2 检验应注意的问题</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若被检产品明示的质量要求高于本细则中检验项目依据的标准要求时，应按被检产品明示的质量要求判定。</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若被检产品明示的质量要求低于本细则中检验项目依据的强制性标准要求时，应按照强制性标准要求判定。</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若被检产品明示的质量要求低于或包含本细则中检验项目依据的推荐性标准要求时，应以被检产品明示的质量要求判定。</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若被检产品明示的质量要求缺少本细则中检验项目依据的推荐性标准要求时，该项目不参与判定，但应在检验报告备注中进行说明。</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7 判定原则</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经检验，检验项目全部合格，判定为被抽查产品所检项目未发现不合格；检验项目中任一项或一项以上不合格，判定为被抽查产品不合格。</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8 异议处理</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对判定不合格产品进行异议处理时，按以下方式进行：</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8.1 核查不合格项目相关证据，能够以记录（纸质记录或电子记录或影像记录）或与不合格项目相关联的其他质量数据等检验证据证明。</w:t>
      </w:r>
    </w:p>
    <w:p>
      <w:pPr>
        <w:adjustRightInd w:val="0"/>
        <w:snapToGrid w:val="0"/>
        <w:spacing w:line="594" w:lineRule="exact"/>
        <w:ind w:firstLine="560" w:firstLineChars="200"/>
      </w:pPr>
      <w:r>
        <w:rPr>
          <w:rFonts w:hint="eastAsia" w:ascii="仿宋_GB2312" w:hAnsi="宋体" w:eastAsia="仿宋_GB2312"/>
          <w:sz w:val="28"/>
          <w:szCs w:val="28"/>
        </w:rPr>
        <w:t>8.2 对需要复检并具备检验条件的，处理企业异议的市场监督部门或者指定检验机构应当按原监督抽查细则对留存的样品或抽取的备用样品组织复检，复检项目如有仲裁法需用仲裁法进行复检，并出具检验报告。复检结论为最终结论。</w:t>
      </w:r>
    </w:p>
    <w:sectPr>
      <w:footerReference r:id="rId3" w:type="default"/>
      <w:pgSz w:w="11906" w:h="16838"/>
      <w:pgMar w:top="1701" w:right="1644" w:bottom="1701" w:left="1644"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ascii="宋体" w:hAnsi="宋体" w:cs="宋体"/>
                              <w:sz w:val="21"/>
                              <w:szCs w:val="21"/>
                            </w:rPr>
                          </w:pPr>
                          <w:r>
                            <w:rPr>
                              <w:rFonts w:hint="eastAsia" w:ascii="宋体" w:hAnsi="宋体" w:cs="宋体"/>
                              <w:sz w:val="21"/>
                              <w:szCs w:val="21"/>
                            </w:rPr>
                            <w:fldChar w:fldCharType="begin"/>
                          </w:r>
                          <w:r>
                            <w:rPr>
                              <w:rFonts w:hint="eastAsia" w:ascii="宋体" w:hAnsi="宋体" w:cs="宋体"/>
                              <w:sz w:val="21"/>
                              <w:szCs w:val="21"/>
                            </w:rPr>
                            <w:instrText xml:space="preserve"> PAGE  \* MERGEFORMAT </w:instrText>
                          </w:r>
                          <w:r>
                            <w:rPr>
                              <w:rFonts w:hint="eastAsia" w:ascii="宋体" w:hAnsi="宋体" w:cs="宋体"/>
                              <w:sz w:val="21"/>
                              <w:szCs w:val="21"/>
                            </w:rPr>
                            <w:fldChar w:fldCharType="separate"/>
                          </w:r>
                          <w:r>
                            <w:rPr>
                              <w:rFonts w:ascii="宋体" w:hAnsi="宋体" w:cs="宋体"/>
                              <w:sz w:val="21"/>
                              <w:szCs w:val="21"/>
                            </w:rPr>
                            <w:t>- 1 -</w:t>
                          </w:r>
                          <w:r>
                            <w:rPr>
                              <w:rFonts w:hint="eastAsia" w:ascii="宋体" w:hAnsi="宋体" w:cs="宋体"/>
                              <w:sz w:val="21"/>
                              <w:szCs w:val="21"/>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p2gcnIAQAAmQMAAA4AAAAAAAAAAQAgAAAAHgEAAGRycy9lMm9Eb2Mu&#10;eG1sUEsFBgAAAAAGAAYAWQEAAFgFAAAAAA==&#10;">
              <v:fill on="f" focussize="0,0"/>
              <v:stroke on="f"/>
              <v:imagedata o:title=""/>
              <o:lock v:ext="edit" aspectratio="f"/>
              <v:textbox inset="0mm,0mm,0mm,0mm" style="mso-fit-shape-to-text:t;">
                <w:txbxContent>
                  <w:p>
                    <w:pPr>
                      <w:pStyle w:val="4"/>
                      <w:rPr>
                        <w:rFonts w:ascii="宋体" w:hAnsi="宋体" w:cs="宋体"/>
                        <w:sz w:val="21"/>
                        <w:szCs w:val="21"/>
                      </w:rPr>
                    </w:pPr>
                    <w:r>
                      <w:rPr>
                        <w:rFonts w:hint="eastAsia" w:ascii="宋体" w:hAnsi="宋体" w:cs="宋体"/>
                        <w:sz w:val="21"/>
                        <w:szCs w:val="21"/>
                      </w:rPr>
                      <w:fldChar w:fldCharType="begin"/>
                    </w:r>
                    <w:r>
                      <w:rPr>
                        <w:rFonts w:hint="eastAsia" w:ascii="宋体" w:hAnsi="宋体" w:cs="宋体"/>
                        <w:sz w:val="21"/>
                        <w:szCs w:val="21"/>
                      </w:rPr>
                      <w:instrText xml:space="preserve"> PAGE  \* MERGEFORMAT </w:instrText>
                    </w:r>
                    <w:r>
                      <w:rPr>
                        <w:rFonts w:hint="eastAsia" w:ascii="宋体" w:hAnsi="宋体" w:cs="宋体"/>
                        <w:sz w:val="21"/>
                        <w:szCs w:val="21"/>
                      </w:rPr>
                      <w:fldChar w:fldCharType="separate"/>
                    </w:r>
                    <w:r>
                      <w:rPr>
                        <w:rFonts w:ascii="宋体" w:hAnsi="宋体" w:cs="宋体"/>
                        <w:sz w:val="21"/>
                        <w:szCs w:val="21"/>
                      </w:rPr>
                      <w:t>- 1 -</w:t>
                    </w:r>
                    <w:r>
                      <w:rPr>
                        <w:rFonts w:hint="eastAsia" w:ascii="宋体" w:hAnsi="宋体" w:cs="宋体"/>
                        <w:sz w:val="21"/>
                        <w:szCs w:val="21"/>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EwYTMyY2IzMGNjYjI2OTAzN2ZiZjQyYjU1NmQ5M2UifQ=="/>
  </w:docVars>
  <w:rsids>
    <w:rsidRoot w:val="00ED17A4"/>
    <w:rsid w:val="000A792A"/>
    <w:rsid w:val="000B3688"/>
    <w:rsid w:val="00102FBB"/>
    <w:rsid w:val="001220BC"/>
    <w:rsid w:val="00137A14"/>
    <w:rsid w:val="001F0471"/>
    <w:rsid w:val="0023054C"/>
    <w:rsid w:val="00242E68"/>
    <w:rsid w:val="00250078"/>
    <w:rsid w:val="00276786"/>
    <w:rsid w:val="002D1230"/>
    <w:rsid w:val="002D5C82"/>
    <w:rsid w:val="00306B86"/>
    <w:rsid w:val="00354872"/>
    <w:rsid w:val="003A0A4F"/>
    <w:rsid w:val="003D5C3F"/>
    <w:rsid w:val="003E4442"/>
    <w:rsid w:val="004037DF"/>
    <w:rsid w:val="00412888"/>
    <w:rsid w:val="00473F47"/>
    <w:rsid w:val="00496213"/>
    <w:rsid w:val="004A57D4"/>
    <w:rsid w:val="004A6B42"/>
    <w:rsid w:val="004B2036"/>
    <w:rsid w:val="004F3E65"/>
    <w:rsid w:val="00512565"/>
    <w:rsid w:val="0052448A"/>
    <w:rsid w:val="00541242"/>
    <w:rsid w:val="005A5903"/>
    <w:rsid w:val="005B30C2"/>
    <w:rsid w:val="005B63DA"/>
    <w:rsid w:val="005C0DA4"/>
    <w:rsid w:val="005C5FF2"/>
    <w:rsid w:val="005D7406"/>
    <w:rsid w:val="00614AA5"/>
    <w:rsid w:val="006252FC"/>
    <w:rsid w:val="006A562F"/>
    <w:rsid w:val="006A6077"/>
    <w:rsid w:val="006C5591"/>
    <w:rsid w:val="007519E9"/>
    <w:rsid w:val="007D10B7"/>
    <w:rsid w:val="00800354"/>
    <w:rsid w:val="00851B00"/>
    <w:rsid w:val="008B0205"/>
    <w:rsid w:val="008D61A5"/>
    <w:rsid w:val="008E5366"/>
    <w:rsid w:val="008F7275"/>
    <w:rsid w:val="009462D1"/>
    <w:rsid w:val="00946FB2"/>
    <w:rsid w:val="00A0137D"/>
    <w:rsid w:val="00A777E6"/>
    <w:rsid w:val="00A87538"/>
    <w:rsid w:val="00B052C5"/>
    <w:rsid w:val="00B76969"/>
    <w:rsid w:val="00B85F31"/>
    <w:rsid w:val="00B90EF6"/>
    <w:rsid w:val="00BA0E25"/>
    <w:rsid w:val="00BB1FFC"/>
    <w:rsid w:val="00BB48ED"/>
    <w:rsid w:val="00BD4633"/>
    <w:rsid w:val="00C75839"/>
    <w:rsid w:val="00D64CD9"/>
    <w:rsid w:val="00DA76AE"/>
    <w:rsid w:val="00E0063A"/>
    <w:rsid w:val="00EB0B2B"/>
    <w:rsid w:val="00ED17A4"/>
    <w:rsid w:val="00EF30B8"/>
    <w:rsid w:val="00F9294E"/>
    <w:rsid w:val="00FA172B"/>
    <w:rsid w:val="00FA37BE"/>
    <w:rsid w:val="00FF4973"/>
    <w:rsid w:val="02BD4475"/>
    <w:rsid w:val="03F75FA0"/>
    <w:rsid w:val="06615B03"/>
    <w:rsid w:val="08705141"/>
    <w:rsid w:val="0A401166"/>
    <w:rsid w:val="0B123C38"/>
    <w:rsid w:val="0E9D78D8"/>
    <w:rsid w:val="0FAA5A14"/>
    <w:rsid w:val="1E3B5B2B"/>
    <w:rsid w:val="1E4E1FC7"/>
    <w:rsid w:val="24AA2336"/>
    <w:rsid w:val="25725A7D"/>
    <w:rsid w:val="26E61C61"/>
    <w:rsid w:val="29B155F7"/>
    <w:rsid w:val="323F5720"/>
    <w:rsid w:val="34FF53FE"/>
    <w:rsid w:val="423D1FE7"/>
    <w:rsid w:val="46610A04"/>
    <w:rsid w:val="466E7D19"/>
    <w:rsid w:val="4757545E"/>
    <w:rsid w:val="48A37CB9"/>
    <w:rsid w:val="568E7490"/>
    <w:rsid w:val="60BD0047"/>
    <w:rsid w:val="619A7B65"/>
    <w:rsid w:val="64392943"/>
    <w:rsid w:val="68AD4E37"/>
    <w:rsid w:val="715D3C37"/>
    <w:rsid w:val="717C64BF"/>
    <w:rsid w:val="745B1E70"/>
    <w:rsid w:val="776D6448"/>
    <w:rsid w:val="789C3FEE"/>
    <w:rsid w:val="7BF2196F"/>
    <w:rsid w:val="7D466F15"/>
    <w:rsid w:val="DEBD81D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qFormat="1" w:unhideWhenUsed="0" w:uiPriority="0" w:semiHidden="0"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9">
    <w:name w:val="Default Paragraph Font"/>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3">
    <w:name w:val="List 2"/>
    <w:basedOn w:val="1"/>
    <w:next w:val="1"/>
    <w:qFormat/>
    <w:uiPriority w:val="0"/>
    <w:pPr>
      <w:adjustRightInd w:val="0"/>
      <w:snapToGrid w:val="0"/>
      <w:spacing w:line="360" w:lineRule="auto"/>
      <w:ind w:left="100" w:leftChars="200" w:hanging="200" w:hangingChars="200"/>
    </w:pPr>
    <w:rPr>
      <w:sz w:val="24"/>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toc 1"/>
    <w:basedOn w:val="1"/>
    <w:next w:val="1"/>
    <w:unhideWhenUsed/>
    <w:qFormat/>
    <w:uiPriority w:val="39"/>
  </w:style>
  <w:style w:type="table" w:styleId="8">
    <w:name w:val="Table Grid"/>
    <w:basedOn w:val="7"/>
    <w:autoRedefine/>
    <w:qFormat/>
    <w:uiPriority w:val="59"/>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页眉 字符"/>
    <w:basedOn w:val="9"/>
    <w:link w:val="5"/>
    <w:autoRedefine/>
    <w:qFormat/>
    <w:uiPriority w:val="99"/>
    <w:rPr>
      <w:rFonts w:ascii="Calibri" w:hAnsi="Calibri" w:eastAsia="宋体" w:cs="Times New Roman"/>
      <w:sz w:val="18"/>
      <w:szCs w:val="18"/>
    </w:rPr>
  </w:style>
  <w:style w:type="character" w:customStyle="1" w:styleId="11">
    <w:name w:val="页脚 字符"/>
    <w:basedOn w:val="9"/>
    <w:link w:val="4"/>
    <w:autoRedefine/>
    <w:qFormat/>
    <w:uiPriority w:val="99"/>
    <w:rPr>
      <w:rFonts w:ascii="Calibri" w:hAnsi="Calibri" w:eastAsia="宋体" w:cs="Times New Roman"/>
      <w:sz w:val="18"/>
      <w:szCs w:val="18"/>
    </w:rPr>
  </w:style>
  <w:style w:type="paragraph" w:styleId="12">
    <w:name w:val="List Paragraph"/>
    <w:basedOn w:val="1"/>
    <w:autoRedefine/>
    <w:qFormat/>
    <w:uiPriority w:val="34"/>
    <w:pPr>
      <w:ind w:firstLine="420" w:firstLineChars="200"/>
    </w:pPr>
  </w:style>
  <w:style w:type="paragraph" w:customStyle="1" w:styleId="13">
    <w:name w:val="_Style 3"/>
    <w:basedOn w:val="1"/>
    <w:autoRedefine/>
    <w:qFormat/>
    <w:uiPriority w:val="0"/>
    <w:pPr>
      <w:ind w:firstLine="200" w:firstLineChars="200"/>
    </w:pPr>
    <w:rPr>
      <w:rFonts w:ascii="Times New Roman" w:hAnsi="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P R C</Company>
  <Pages>6</Pages>
  <Words>386</Words>
  <Characters>2204</Characters>
  <Lines>18</Lines>
  <Paragraphs>5</Paragraphs>
  <TotalTime>4</TotalTime>
  <ScaleCrop>false</ScaleCrop>
  <LinksUpToDate>false</LinksUpToDate>
  <CharactersWithSpaces>2585</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2021-06-04T10:32:00Z</dcterms:created>
  <dc:creator>侯烨</dc:creator>
  <cp:lastModifiedBy>朱正</cp:lastModifiedBy>
  <cp:lastPrinted>2021-06-04T10:15:00Z</cp:lastPrinted>
  <dcterms:modified xsi:type="dcterms:W3CDTF">2024-03-19T13:59:46Z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008941DDAA7244D6BF62B0434D8C5609_13</vt:lpwstr>
  </property>
</Properties>
</file>