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Times New Roman" w:hAnsi="Times New Roman" w:eastAsia="仿宋" w:cs="Times New Roman"/>
          <w:bCs/>
          <w:color w:val="auto"/>
          <w:spacing w:val="-11"/>
          <w:sz w:val="44"/>
          <w:szCs w:val="44"/>
          <w:highlight w:val="none"/>
          <w:lang w:val="en-US" w:eastAsia="zh-CN"/>
        </w:rPr>
      </w:pPr>
      <w:r>
        <w:rPr>
          <w:rFonts w:eastAsia="仿宋"/>
          <w:bCs/>
          <w:color w:val="auto"/>
          <w:spacing w:val="-11"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仿宋" w:cs="Times New Roman"/>
          <w:bCs/>
          <w:color w:val="auto"/>
          <w:spacing w:val="-11"/>
          <w:sz w:val="44"/>
          <w:szCs w:val="44"/>
          <w:highlight w:val="none"/>
          <w:lang w:val="en-US" w:eastAsia="zh-CN"/>
        </w:rPr>
        <w:t>百世环保科技(辽宁省) 有限责任公司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eastAsia="仿宋"/>
          <w:bCs/>
          <w:color w:val="auto"/>
          <w:spacing w:val="-11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pacing w:val="-11"/>
          <w:sz w:val="44"/>
          <w:szCs w:val="44"/>
          <w:highlight w:val="none"/>
          <w:lang w:val="en-US" w:eastAsia="zh-CN"/>
        </w:rPr>
        <w:t>废铅酸电池储存项目</w:t>
      </w:r>
      <w:r>
        <w:rPr>
          <w:rFonts w:hint="eastAsia" w:eastAsia="仿宋"/>
          <w:bCs/>
          <w:color w:val="auto"/>
          <w:spacing w:val="-11"/>
          <w:sz w:val="44"/>
          <w:szCs w:val="44"/>
          <w:highlight w:val="none"/>
          <w:lang w:val="en-US" w:eastAsia="zh-CN"/>
        </w:rPr>
        <w:t>环境影响报告表</w:t>
      </w:r>
      <w:r>
        <w:rPr>
          <w:rFonts w:eastAsia="仿宋"/>
          <w:bCs/>
          <w:color w:val="auto"/>
          <w:spacing w:val="-11"/>
          <w:sz w:val="44"/>
          <w:szCs w:val="44"/>
          <w:highlight w:val="none"/>
        </w:rPr>
        <w:t>的批复</w:t>
      </w:r>
    </w:p>
    <w:p>
      <w:pPr>
        <w:jc w:val="center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>盘环审[2023] 26号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百世环保科技(辽宁省) 有限责任公司</w:t>
      </w:r>
      <w:r>
        <w:rPr>
          <w:rFonts w:hint="eastAsia" w:ascii="仿宋" w:hAnsi="仿宋" w:eastAsia="仿宋" w:cs="仿宋"/>
          <w:color w:val="auto"/>
          <w:kern w:val="2"/>
          <w:sz w:val="32"/>
          <w:szCs w:val="2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你公司报送的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《百世环保科技(辽宁省) 有限责任公司废铅酸电池储存项目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环境影响报告表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》（以下简称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“报告</w:t>
      </w:r>
      <w:r>
        <w:rPr>
          <w:rFonts w:hint="eastAsia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表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zh-CN" w:eastAsia="zh-CN" w:bidi="ar-SA"/>
        </w:rPr>
        <w:t>”）收悉，经评估审核和局务会研究通过，现批复如下：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一、百世环保科技(辽宁省)有限责任公司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通过市场调研，现拟投资45万元建设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废铅酸电池储存项目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为废铅酸蓄电池收集单位提供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收集、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贮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存和转运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建设内容包括1座520m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专用库房，内部采用分区设计，配套建设1套废气治理设施。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单次最大转运能力33吨，最大贮存能力200吨，设计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年收集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转运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废铅蓄电池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0000吨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(不涉及拆解、后续加工)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在全面落实“报告表”提出的各项污染防治措施及风险防范的前提下，从环保角度分析我局原则同意你公司按“报告表”中所列建设项目的地点、性质、规模、生产工艺和拟采取的环境保护措施。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eastAsia="仿宋"/>
          <w:color w:val="auto"/>
          <w:sz w:val="32"/>
          <w:szCs w:val="32"/>
          <w:highlight w:val="none"/>
        </w:rPr>
      </w:pPr>
      <w:r>
        <w:rPr>
          <w:rFonts w:eastAsia="仿宋"/>
          <w:color w:val="auto"/>
          <w:sz w:val="32"/>
          <w:szCs w:val="32"/>
          <w:highlight w:val="none"/>
        </w:rPr>
        <w:t>二、项目</w:t>
      </w:r>
      <w:r>
        <w:rPr>
          <w:rFonts w:hint="eastAsia" w:eastAsia="仿宋"/>
          <w:color w:val="auto"/>
          <w:sz w:val="32"/>
          <w:szCs w:val="32"/>
          <w:highlight w:val="none"/>
        </w:rPr>
        <w:t>建设</w:t>
      </w:r>
      <w:r>
        <w:rPr>
          <w:rFonts w:eastAsia="仿宋"/>
          <w:color w:val="auto"/>
          <w:sz w:val="32"/>
          <w:szCs w:val="32"/>
          <w:highlight w:val="none"/>
        </w:rPr>
        <w:t>与运行管理中应重点做好以下工作：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1、严格落实大气污染防治措施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破损电池贮存区采用密闭式设计并设置引风设施，废气经收集后送入碱喷淋装置处理，处理后的废气满足《大气污染物综合排放标准》（GB16297-1996）要求后，经15m高排气筒排放。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强化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水污染防治措施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本项目无生产废水产生，生活污水依托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盘锦佳美新型塑料建材有限责任公司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场地内现有化粪池处理，处理后的污水满足《辽宁省污水综合排放标准》（DB/21 1627-2008）表2标准后，排入园区污水管网。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有效控制设备噪声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选取低噪声设备，风机和泵设置减震设施，将主要生产设施布置在厂房内，并加强日常维护保养，避免设备运行异常导致噪声升高，确保厂界噪声符合《工业企业厂界环境噪声排放标准》（GB12348-2008）中3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4、确保固体废物安全贮存和处置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废旧铅酸蓄电池贮存库和其它危废暂存间的</w:t>
      </w:r>
      <w:r>
        <w:rPr>
          <w:rFonts w:hint="eastAsia" w:ascii="仿宋" w:hAnsi="仿宋" w:eastAsia="仿宋" w:cs="仿宋"/>
          <w:sz w:val="32"/>
          <w:szCs w:val="32"/>
          <w:lang w:val="pt-BR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以及后续运营应</w:t>
      </w:r>
      <w:r>
        <w:rPr>
          <w:rFonts w:hint="eastAsia" w:ascii="仿宋" w:hAnsi="仿宋" w:eastAsia="仿宋" w:cs="仿宋"/>
          <w:sz w:val="32"/>
          <w:szCs w:val="32"/>
          <w:lang w:val="pt-BR" w:eastAsia="zh-CN"/>
        </w:rPr>
        <w:t>满足《危险废物贮存污染控制标准》（GB18597-2023）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《废铅酸蓄电池处理污染控制技术规范》（HJ519-2020）的相关要求。回收的废铅酸蓄电池分别存储于指定区域；电池泄露液、废劳保用品、废托盘、废周转箱（桶）、废塑料薄膜、废碱液等危险废物在危废暂存间内分类贮存，并确保容器和包装物符合标准要求。上述危险废物均定期送至有资质单位处置，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同时，按照创建国家生态文明建设示范市建设指标“危险废物利用处置率达到100%”的要求，保证项目产生的危险废物按危废管理要求定期处置、年底清零。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5、严格落实“报告表”提出的各项环境风险防范措施，建立健全相关管理制度。按照“企业自救、属地自主、分级响应、区域联动”原则，制订突发环境事件应急预案。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企业应做好环保设施运行和维护，严格落实环保设施安全生产工作要求，健全企业内部污染防治设施稳定运行和管理责任制度，委托有相应资质的设计单位对重点环保设施进行设计，并定期做好环保设备设施安全风险辨识评估和隐患排查治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Cs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bCs/>
          <w:szCs w:val="32"/>
        </w:rPr>
        <w:t>严格落实</w:t>
      </w:r>
      <w:r>
        <w:rPr>
          <w:rFonts w:hint="eastAsia" w:ascii="Times New Roman" w:hAnsi="Times New Roman" w:eastAsia="仿宋" w:cs="Times New Roman"/>
          <w:bCs/>
          <w:szCs w:val="32"/>
          <w:lang w:val="en-US" w:eastAsia="zh-CN"/>
        </w:rPr>
        <w:t>“报告</w:t>
      </w:r>
      <w:r>
        <w:rPr>
          <w:rFonts w:hint="eastAsia" w:eastAsia="仿宋" w:cs="Times New Roman"/>
          <w:bCs/>
          <w:szCs w:val="32"/>
          <w:lang w:val="en-US" w:eastAsia="zh-CN"/>
        </w:rPr>
        <w:t>表</w:t>
      </w:r>
      <w:r>
        <w:rPr>
          <w:rFonts w:hint="eastAsia" w:ascii="Times New Roman" w:hAnsi="Times New Roman" w:eastAsia="仿宋" w:cs="Times New Roman"/>
          <w:bCs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Cs/>
          <w:szCs w:val="32"/>
        </w:rPr>
        <w:t>提出的环境管理及监测计划。</w:t>
      </w:r>
      <w:r>
        <w:rPr>
          <w:rFonts w:hint="eastAsia" w:ascii="Times New Roman" w:hAnsi="Times New Roman" w:eastAsia="仿宋" w:cs="Times New Roman"/>
          <w:bCs/>
          <w:szCs w:val="32"/>
          <w:lang w:val="en-US" w:eastAsia="zh-CN"/>
        </w:rPr>
        <w:t>定期开展</w:t>
      </w:r>
      <w:r>
        <w:rPr>
          <w:rFonts w:hint="eastAsia" w:eastAsia="仿宋" w:cs="Times New Roman"/>
          <w:bCs/>
          <w:szCs w:val="32"/>
          <w:lang w:val="en-US" w:eastAsia="zh-CN"/>
        </w:rPr>
        <w:t>环境</w:t>
      </w:r>
      <w:r>
        <w:rPr>
          <w:rFonts w:hint="default" w:ascii="Times New Roman" w:hAnsi="Times New Roman" w:eastAsia="仿宋" w:cs="Times New Roman"/>
          <w:bCs/>
          <w:szCs w:val="32"/>
        </w:rPr>
        <w:t>监测</w:t>
      </w:r>
      <w:r>
        <w:rPr>
          <w:rFonts w:hint="eastAsia" w:ascii="Times New Roman" w:hAnsi="Times New Roman" w:eastAsia="仿宋" w:cs="Times New Roman"/>
          <w:bCs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Cs/>
          <w:szCs w:val="32"/>
        </w:rPr>
        <w:t>建立技术文件档案，促进环境管理措施的修正和持续改进。按照国家和地方有关规定设置规范的污染物排放口、采样孔口和采样监测平台，并设立</w:t>
      </w:r>
      <w:r>
        <w:rPr>
          <w:rFonts w:hint="eastAsia" w:ascii="Times New Roman" w:hAnsi="Times New Roman" w:eastAsia="仿宋" w:cs="Times New Roman"/>
          <w:bCs/>
          <w:szCs w:val="32"/>
          <w:lang w:val="en-US" w:eastAsia="zh-CN"/>
        </w:rPr>
        <w:t>标识</w:t>
      </w:r>
      <w:r>
        <w:rPr>
          <w:rFonts w:hint="default" w:ascii="Times New Roman" w:hAnsi="Times New Roman" w:eastAsia="仿宋" w:cs="Times New Roman"/>
          <w:bCs/>
          <w:szCs w:val="32"/>
        </w:rPr>
        <w:t>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四、你公司应按《排污许可管理条例》规定，依法持证排污，取得排污许可证前，不得排放污染物。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五、项目建设必须严格执行环境保护设施与主体工程同时设计、同时施工、同时投产使用的环境保护“三同时”制度。项目竣工后按照规定程序完成竣工环境保护验收，经验收合格后，项目方可正式投入生产。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环境影响报告表经批准后，项目建设的地点、性质、规模、工艺或者防治污染措施发生重大变动的，应当重新报批该项目的环境影响报告表。自环境影响报告表批复文件批准之日起，如超过5年开工建设，环境影响报告表应报我局重新审核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before="157" w:beforeLines="50" w:after="157" w:afterLines="5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七、兴隆台区生态环境分局负责项目建设及运行期的环境管理工作，你公司按规定接受各级环境保护行政主管部门的日常监督检查。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</w:p>
    <w:p>
      <w:pPr>
        <w:pStyle w:val="6"/>
        <w:overflowPunct w:val="0"/>
        <w:autoSpaceDE w:val="0"/>
        <w:autoSpaceDN w:val="0"/>
        <w:spacing w:line="360" w:lineRule="auto"/>
        <w:ind w:firstLine="560" w:firstLineChars="200"/>
        <w:jc w:val="left"/>
        <w:rPr>
          <w:rFonts w:hint="default" w:ascii="Times New Roman" w:hAnsi="Times New Roman" w:eastAsia="微软雅黑" w:cs="Times New Roman"/>
          <w:color w:val="333333"/>
          <w:sz w:val="28"/>
          <w:szCs w:val="28"/>
          <w:shd w:val="clear" w:color="auto" w:fill="FFFFFF"/>
        </w:rPr>
      </w:pPr>
    </w:p>
    <w:p>
      <w:pPr>
        <w:pStyle w:val="10"/>
        <w:ind w:firstLine="210"/>
        <w:rPr>
          <w:color w:val="auto"/>
          <w:highlight w:val="none"/>
        </w:rPr>
      </w:pPr>
    </w:p>
    <w:p>
      <w:pPr>
        <w:ind w:firstLine="5760" w:firstLineChars="1800"/>
        <w:rPr>
          <w:rFonts w:eastAsia="仿宋"/>
          <w:color w:val="auto"/>
          <w:sz w:val="32"/>
          <w:szCs w:val="32"/>
          <w:highlight w:val="none"/>
        </w:rPr>
      </w:pPr>
      <w:r>
        <w:rPr>
          <w:rFonts w:eastAsia="仿宋"/>
          <w:color w:val="auto"/>
          <w:sz w:val="32"/>
          <w:szCs w:val="32"/>
          <w:highlight w:val="none"/>
        </w:rPr>
        <w:t>盘锦市</w:t>
      </w:r>
      <w:r>
        <w:rPr>
          <w:rFonts w:hint="eastAsia" w:eastAsia="仿宋"/>
          <w:color w:val="auto"/>
          <w:sz w:val="32"/>
          <w:szCs w:val="32"/>
          <w:highlight w:val="none"/>
        </w:rPr>
        <w:t>生态</w:t>
      </w:r>
      <w:r>
        <w:rPr>
          <w:rFonts w:eastAsia="仿宋"/>
          <w:color w:val="auto"/>
          <w:sz w:val="32"/>
          <w:szCs w:val="32"/>
          <w:highlight w:val="none"/>
        </w:rPr>
        <w:t>环境局</w:t>
      </w:r>
    </w:p>
    <w:p>
      <w:pPr>
        <w:ind w:firstLine="640" w:firstLineChars="200"/>
        <w:jc w:val="center"/>
        <w:rPr>
          <w:rFonts w:eastAsia="仿宋"/>
          <w:color w:val="auto"/>
          <w:sz w:val="32"/>
          <w:szCs w:val="32"/>
          <w:highlight w:val="none"/>
        </w:rPr>
      </w:pPr>
      <w:r>
        <w:rPr>
          <w:rFonts w:hint="eastAsia" w:eastAsia="仿宋"/>
          <w:color w:val="auto"/>
          <w:sz w:val="32"/>
          <w:szCs w:val="32"/>
          <w:highlight w:val="none"/>
        </w:rPr>
        <w:t xml:space="preserve">                             202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eastAsia="仿宋"/>
          <w:color w:val="auto"/>
          <w:sz w:val="32"/>
          <w:szCs w:val="32"/>
          <w:highlight w:val="none"/>
        </w:rPr>
        <w:t>年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eastAsia="仿宋"/>
          <w:color w:val="auto"/>
          <w:sz w:val="32"/>
          <w:szCs w:val="32"/>
          <w:highlight w:val="none"/>
        </w:rPr>
        <w:t>月</w:t>
      </w: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eastAsia="仿宋"/>
          <w:color w:val="auto"/>
          <w:sz w:val="32"/>
          <w:szCs w:val="32"/>
          <w:highlight w:val="none"/>
        </w:rPr>
        <w:t>日</w:t>
      </w:r>
    </w:p>
    <w:p>
      <w:pPr>
        <w:rPr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pStyle w:val="10"/>
        <w:ind w:firstLine="210"/>
        <w:jc w:val="both"/>
        <w:rPr>
          <w:rFonts w:cs="Times New Roman"/>
          <w:color w:val="auto"/>
          <w:highlight w:val="none"/>
        </w:rPr>
      </w:pPr>
    </w:p>
    <w:p>
      <w:pPr>
        <w:pStyle w:val="10"/>
        <w:ind w:firstLine="210"/>
        <w:jc w:val="both"/>
        <w:rPr>
          <w:rFonts w:cs="Times New Roman"/>
          <w:color w:val="auto"/>
          <w:highlight w:val="none"/>
        </w:rPr>
      </w:pPr>
    </w:p>
    <w:p>
      <w:pPr>
        <w:pStyle w:val="11"/>
        <w:rPr>
          <w:color w:val="auto"/>
          <w:highlight w:val="none"/>
        </w:rPr>
      </w:pPr>
    </w:p>
    <w:p>
      <w:pPr>
        <w:pStyle w:val="10"/>
        <w:ind w:firstLine="420" w:firstLineChars="200"/>
        <w:jc w:val="both"/>
        <w:rPr>
          <w:color w:val="auto"/>
          <w:highlight w:val="none"/>
        </w:rPr>
      </w:pPr>
      <w:r>
        <w:rPr>
          <w:rFonts w:cs="Times New Roman"/>
          <w:color w:val="auto"/>
          <w:highlight w:val="none"/>
        </w:rPr>
        <w:t>抄送：</w:t>
      </w:r>
      <w:r>
        <w:rPr>
          <w:rFonts w:hint="eastAsia" w:cs="Times New Roman"/>
          <w:color w:val="auto"/>
          <w:highlight w:val="none"/>
          <w:lang w:val="en-US" w:eastAsia="zh-CN"/>
        </w:rPr>
        <w:t>兴隆台区</w:t>
      </w:r>
      <w:r>
        <w:rPr>
          <w:rFonts w:hint="eastAsia" w:cs="Times New Roman"/>
          <w:color w:val="auto"/>
          <w:highlight w:val="none"/>
        </w:rPr>
        <w:t>生态环境分局、市生态环境局机关各科室、盘锦市生态环境保护服务中心、市生态环境保护综合行政执法队</w:t>
      </w:r>
    </w:p>
    <w:p>
      <w:pPr>
        <w:rPr>
          <w:color w:val="auto"/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361" w:bottom="1191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4</w: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2E1NjFhMDRlY2FhMjNjZjc0MTM5YWJlNjA4MzAifQ=="/>
  </w:docVars>
  <w:rsids>
    <w:rsidRoot w:val="002D1AA3"/>
    <w:rsid w:val="00147B08"/>
    <w:rsid w:val="002D1AA3"/>
    <w:rsid w:val="004C45E1"/>
    <w:rsid w:val="0078210A"/>
    <w:rsid w:val="009B0B6E"/>
    <w:rsid w:val="00B23903"/>
    <w:rsid w:val="00CC5917"/>
    <w:rsid w:val="00D35505"/>
    <w:rsid w:val="00FB0FE4"/>
    <w:rsid w:val="01A60E50"/>
    <w:rsid w:val="01E67CA9"/>
    <w:rsid w:val="04D516B6"/>
    <w:rsid w:val="05BB6053"/>
    <w:rsid w:val="05FB615F"/>
    <w:rsid w:val="06B20BC8"/>
    <w:rsid w:val="076703FF"/>
    <w:rsid w:val="076810C2"/>
    <w:rsid w:val="0D6C67F0"/>
    <w:rsid w:val="0F48529A"/>
    <w:rsid w:val="10516B48"/>
    <w:rsid w:val="15D10F9E"/>
    <w:rsid w:val="179504FD"/>
    <w:rsid w:val="17952D2D"/>
    <w:rsid w:val="19246F03"/>
    <w:rsid w:val="1FC94557"/>
    <w:rsid w:val="21093B95"/>
    <w:rsid w:val="21B165BF"/>
    <w:rsid w:val="244A2615"/>
    <w:rsid w:val="247E0CA5"/>
    <w:rsid w:val="250330BA"/>
    <w:rsid w:val="25DF13DF"/>
    <w:rsid w:val="28E673A4"/>
    <w:rsid w:val="2EA513A5"/>
    <w:rsid w:val="30E444CB"/>
    <w:rsid w:val="32236C2E"/>
    <w:rsid w:val="32760808"/>
    <w:rsid w:val="32BD0DAD"/>
    <w:rsid w:val="33AF57B8"/>
    <w:rsid w:val="3A304A1A"/>
    <w:rsid w:val="3CAA103B"/>
    <w:rsid w:val="3D0A1AD3"/>
    <w:rsid w:val="3F951F74"/>
    <w:rsid w:val="3F9562B0"/>
    <w:rsid w:val="40EA193F"/>
    <w:rsid w:val="41127B65"/>
    <w:rsid w:val="421612A4"/>
    <w:rsid w:val="4322596A"/>
    <w:rsid w:val="43651C77"/>
    <w:rsid w:val="43C4600F"/>
    <w:rsid w:val="490337A2"/>
    <w:rsid w:val="4B150B79"/>
    <w:rsid w:val="4B294DE5"/>
    <w:rsid w:val="4C432D2E"/>
    <w:rsid w:val="4CB651B6"/>
    <w:rsid w:val="4E560568"/>
    <w:rsid w:val="4E5959D6"/>
    <w:rsid w:val="50077BE4"/>
    <w:rsid w:val="5075364F"/>
    <w:rsid w:val="53C5156B"/>
    <w:rsid w:val="5767567E"/>
    <w:rsid w:val="58C342CC"/>
    <w:rsid w:val="5BF050DD"/>
    <w:rsid w:val="5E294534"/>
    <w:rsid w:val="608646DB"/>
    <w:rsid w:val="61F40E37"/>
    <w:rsid w:val="620C74D6"/>
    <w:rsid w:val="627325B9"/>
    <w:rsid w:val="62BB51B2"/>
    <w:rsid w:val="642A3DEB"/>
    <w:rsid w:val="658D0363"/>
    <w:rsid w:val="673732C8"/>
    <w:rsid w:val="68CA6C8C"/>
    <w:rsid w:val="6C6A2EFF"/>
    <w:rsid w:val="6CDE6BAC"/>
    <w:rsid w:val="6F0353AF"/>
    <w:rsid w:val="6F1A02CA"/>
    <w:rsid w:val="702E4C81"/>
    <w:rsid w:val="70875B27"/>
    <w:rsid w:val="715B116D"/>
    <w:rsid w:val="7382482D"/>
    <w:rsid w:val="73BE2079"/>
    <w:rsid w:val="7B9C0EEF"/>
    <w:rsid w:val="7E13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4"/>
    <w:next w:val="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240" w:lineRule="exact"/>
      <w:jc w:val="center"/>
    </w:pPr>
    <w:rPr>
      <w:rFonts w:ascii="宋体" w:hAnsi="宋体"/>
    </w:rPr>
  </w:style>
  <w:style w:type="paragraph" w:styleId="6">
    <w:name w:val="Body Text Indent"/>
    <w:basedOn w:val="1"/>
    <w:next w:val="7"/>
    <w:qFormat/>
    <w:uiPriority w:val="0"/>
    <w:pPr>
      <w:spacing w:line="300" w:lineRule="auto"/>
      <w:ind w:firstLine="640" w:firstLineChars="200"/>
    </w:pPr>
    <w:rPr>
      <w:sz w:val="32"/>
    </w:rPr>
  </w:style>
  <w:style w:type="paragraph" w:styleId="7">
    <w:name w:val="header"/>
    <w:basedOn w:val="1"/>
    <w:next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5"/>
    <w:basedOn w:val="3"/>
    <w:qFormat/>
    <w:uiPriority w:val="99"/>
    <w:pPr>
      <w:spacing w:line="440" w:lineRule="exact"/>
      <w:ind w:right="-105" w:rightChars="-50"/>
      <w:jc w:val="center"/>
    </w:p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11">
    <w:name w:val="Body Text First Indent 2"/>
    <w:basedOn w:val="6"/>
    <w:next w:val="1"/>
    <w:qFormat/>
    <w:uiPriority w:val="0"/>
    <w:pPr>
      <w:spacing w:line="240" w:lineRule="auto"/>
      <w:ind w:left="420" w:leftChars="200" w:firstLine="420"/>
    </w:pPr>
    <w:rPr>
      <w:sz w:val="21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p0"/>
    <w:basedOn w:val="1"/>
    <w:qFormat/>
    <w:uiPriority w:val="0"/>
    <w:pPr>
      <w:widowControl/>
    </w:pPr>
    <w:rPr>
      <w:szCs w:val="20"/>
    </w:rPr>
  </w:style>
  <w:style w:type="paragraph" w:customStyle="1" w:styleId="16">
    <w:name w:val="立威报告正文"/>
    <w:basedOn w:val="1"/>
    <w:qFormat/>
    <w:uiPriority w:val="99"/>
    <w:pPr>
      <w:spacing w:line="360" w:lineRule="auto"/>
      <w:ind w:firstLine="480" w:firstLineChars="200"/>
    </w:pPr>
    <w:rPr>
      <w:sz w:val="24"/>
      <w:szCs w:val="22"/>
    </w:rPr>
  </w:style>
  <w:style w:type="paragraph" w:customStyle="1" w:styleId="17">
    <w:name w:val="正文，yyjoc"/>
    <w:basedOn w:val="1"/>
    <w:qFormat/>
    <w:uiPriority w:val="0"/>
    <w:pPr>
      <w:adjustRightInd w:val="0"/>
      <w:snapToGrid w:val="0"/>
      <w:spacing w:beforeLines="50" w:line="300" w:lineRule="auto"/>
      <w:ind w:firstLine="200" w:firstLineChars="200"/>
    </w:pPr>
    <w:rPr>
      <w:sz w:val="24"/>
    </w:rPr>
  </w:style>
  <w:style w:type="paragraph" w:customStyle="1" w:styleId="18">
    <w:name w:val="0正文"/>
    <w:basedOn w:val="1"/>
    <w:qFormat/>
    <w:uiPriority w:val="0"/>
    <w:pPr>
      <w:spacing w:line="360" w:lineRule="auto"/>
      <w:ind w:firstLine="7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2735</Words>
  <Characters>2933</Characters>
  <Lines>1</Lines>
  <Paragraphs>4</Paragraphs>
  <TotalTime>1390</TotalTime>
  <ScaleCrop>false</ScaleCrop>
  <LinksUpToDate>false</LinksUpToDate>
  <CharactersWithSpaces>2962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2022-05-17T02:31:00Z</dcterms:created>
  <dc:creator>Administrator</dc:creator>
  <cp:lastModifiedBy>ly</cp:lastModifiedBy>
  <cp:lastPrinted>2023-10-26T01:35:38Z</cp:lastPrinted>
  <dcterms:modified xsi:type="dcterms:W3CDTF">2023-10-27T05:48:38Z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B157F418008E40E383E546C4FBBDD770_13</vt:lpwstr>
  </property>
</Properties>
</file>