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4D26" w:rsidRDefault="003F5D13">
      <w:pPr>
        <w:jc w:val="center"/>
        <w:rPr>
          <w:rFonts w:ascii="仿宋_GB2312" w:hAnsi="仿宋_GB2312" w:cs="仿宋_GB2312"/>
          <w:b/>
          <w:bCs/>
          <w:spacing w:val="20"/>
          <w:w w:val="105"/>
          <w:sz w:val="36"/>
          <w:szCs w:val="36"/>
        </w:rPr>
      </w:pPr>
      <w:r>
        <w:rPr>
          <w:rFonts w:ascii="仿宋_GB2312" w:hAnsi="仿宋_GB2312" w:cs="仿宋_GB2312" w:hint="eastAsia"/>
          <w:b/>
          <w:bCs/>
          <w:spacing w:val="20"/>
          <w:w w:val="105"/>
          <w:sz w:val="36"/>
          <w:szCs w:val="36"/>
        </w:rPr>
        <w:t>2023</w:t>
      </w:r>
      <w:r>
        <w:rPr>
          <w:rFonts w:ascii="仿宋_GB2312" w:hAnsi="仿宋_GB2312" w:cs="仿宋_GB2312" w:hint="eastAsia"/>
          <w:b/>
          <w:bCs/>
          <w:spacing w:val="20"/>
          <w:w w:val="105"/>
          <w:sz w:val="36"/>
          <w:szCs w:val="36"/>
        </w:rPr>
        <w:t>年盘锦市食品接触用金属材料及制品</w:t>
      </w:r>
    </w:p>
    <w:p w:rsidR="00AE4D26" w:rsidRDefault="003F5D13">
      <w:pPr>
        <w:jc w:val="center"/>
        <w:rPr>
          <w:rFonts w:ascii="仿宋_GB2312" w:hAnsi="仿宋_GB2312" w:cs="仿宋_GB2312"/>
          <w:b/>
          <w:bCs/>
          <w:spacing w:val="20"/>
          <w:w w:val="105"/>
          <w:sz w:val="36"/>
          <w:szCs w:val="36"/>
        </w:rPr>
      </w:pPr>
      <w:r>
        <w:rPr>
          <w:rFonts w:ascii="仿宋_GB2312" w:hAnsi="仿宋_GB2312" w:cs="仿宋_GB2312" w:hint="eastAsia"/>
          <w:b/>
          <w:bCs/>
          <w:spacing w:val="20"/>
          <w:w w:val="105"/>
          <w:sz w:val="36"/>
          <w:szCs w:val="36"/>
        </w:rPr>
        <w:t>产品质量监督抽查实施细则</w:t>
      </w:r>
    </w:p>
    <w:p w:rsidR="00AE4D26" w:rsidRDefault="00AE4D26">
      <w:pPr>
        <w:jc w:val="center"/>
        <w:rPr>
          <w:rFonts w:ascii="仿宋_GB2312" w:hAnsi="仿宋_GB2312" w:cs="仿宋_GB2312"/>
        </w:rPr>
      </w:pPr>
    </w:p>
    <w:p w:rsidR="00AE4D26" w:rsidRDefault="003F5D13">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1</w:t>
      </w:r>
      <w:r>
        <w:rPr>
          <w:rFonts w:ascii="仿宋_GB2312" w:hAnsi="仿宋_GB2312" w:cs="仿宋_GB2312" w:hint="eastAsia"/>
          <w:b/>
          <w:bCs/>
          <w:sz w:val="28"/>
          <w:szCs w:val="28"/>
        </w:rPr>
        <w:t>适用范围</w:t>
      </w:r>
    </w:p>
    <w:p w:rsidR="00AE4D26" w:rsidRDefault="003F5D13">
      <w:pPr>
        <w:adjustRightInd w:val="0"/>
        <w:snapToGrid w:val="0"/>
        <w:spacing w:line="360" w:lineRule="auto"/>
        <w:ind w:firstLineChars="196" w:firstLine="549"/>
      </w:pPr>
      <w:r>
        <w:rPr>
          <w:rFonts w:ascii="仿宋_GB2312" w:hAnsi="仿宋_GB2312" w:cs="仿宋_GB2312" w:hint="eastAsia"/>
          <w:sz w:val="28"/>
          <w:szCs w:val="28"/>
        </w:rPr>
        <w:t>本细则适用于盘锦市</w:t>
      </w:r>
      <w:r>
        <w:rPr>
          <w:rFonts w:ascii="仿宋_GB2312" w:hAnsi="宋体" w:hint="eastAsia"/>
          <w:bCs/>
          <w:kern w:val="0"/>
          <w:sz w:val="28"/>
          <w:szCs w:val="28"/>
        </w:rPr>
        <w:t>食品接触用金属材料及制品</w:t>
      </w:r>
      <w:r>
        <w:rPr>
          <w:rFonts w:ascii="仿宋_GB2312" w:hAnsi="仿宋_GB2312" w:cs="仿宋_GB2312" w:hint="eastAsia"/>
          <w:sz w:val="28"/>
          <w:szCs w:val="28"/>
        </w:rPr>
        <w:t>产品质量监督抽查。本细则内容包括产品分类、术语和定义、生产企业规模划分、检验依据、抽样、检验要求、判定原则、异议处理。</w:t>
      </w:r>
    </w:p>
    <w:p w:rsidR="00AE4D26" w:rsidRDefault="003F5D13">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2</w:t>
      </w:r>
      <w:r>
        <w:rPr>
          <w:rFonts w:ascii="仿宋_GB2312" w:hAnsi="仿宋_GB2312" w:cs="仿宋_GB2312" w:hint="eastAsia"/>
          <w:b/>
          <w:bCs/>
          <w:sz w:val="28"/>
          <w:szCs w:val="28"/>
        </w:rPr>
        <w:t>产品分类、术语和定义</w:t>
      </w:r>
    </w:p>
    <w:p w:rsidR="00AE4D26" w:rsidRDefault="003F5D13">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2.1</w:t>
      </w:r>
      <w:r>
        <w:rPr>
          <w:rFonts w:ascii="仿宋_GB2312" w:hAnsi="仿宋_GB2312" w:cs="仿宋_GB2312" w:hint="eastAsia"/>
          <w:sz w:val="28"/>
          <w:szCs w:val="28"/>
        </w:rPr>
        <w:t>产品分类及代码见表</w:t>
      </w:r>
      <w:r>
        <w:rPr>
          <w:rFonts w:ascii="仿宋_GB2312" w:hAnsi="仿宋_GB2312" w:cs="仿宋_GB2312" w:hint="eastAsia"/>
          <w:sz w:val="28"/>
          <w:szCs w:val="28"/>
        </w:rPr>
        <w:t>1</w:t>
      </w:r>
      <w:r>
        <w:rPr>
          <w:rFonts w:ascii="仿宋_GB2312" w:hAnsi="仿宋_GB2312" w:cs="仿宋_GB2312" w:hint="eastAsia"/>
          <w:sz w:val="28"/>
          <w:szCs w:val="28"/>
        </w:rPr>
        <w:t>。</w:t>
      </w:r>
    </w:p>
    <w:p w:rsidR="00AE4D26" w:rsidRDefault="003F5D13">
      <w:pPr>
        <w:adjustRightInd w:val="0"/>
        <w:snapToGrid w:val="0"/>
        <w:spacing w:line="594" w:lineRule="exact"/>
        <w:ind w:firstLineChars="196" w:firstLine="412"/>
        <w:jc w:val="center"/>
        <w:rPr>
          <w:rFonts w:ascii="宋体" w:eastAsia="宋体" w:hAnsi="宋体" w:cs="宋体"/>
        </w:rPr>
      </w:pPr>
      <w:r>
        <w:rPr>
          <w:rFonts w:ascii="宋体" w:eastAsia="宋体" w:hAnsi="宋体" w:cs="宋体" w:hint="eastAsia"/>
        </w:rPr>
        <w:t>表</w:t>
      </w:r>
      <w:r>
        <w:rPr>
          <w:rFonts w:ascii="宋体" w:eastAsia="宋体" w:hAnsi="宋体" w:cs="宋体" w:hint="eastAsia"/>
        </w:rPr>
        <w:t xml:space="preserve">1 </w:t>
      </w:r>
      <w:r>
        <w:rPr>
          <w:rFonts w:ascii="宋体" w:eastAsia="宋体" w:hAnsi="宋体" w:cs="宋体" w:hint="eastAsia"/>
        </w:rPr>
        <w:t>产品分类及代码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6"/>
        <w:gridCol w:w="2270"/>
        <w:gridCol w:w="2127"/>
        <w:gridCol w:w="2163"/>
      </w:tblGrid>
      <w:tr w:rsidR="00AE4D26">
        <w:trPr>
          <w:trHeight w:val="567"/>
          <w:jc w:val="center"/>
        </w:trPr>
        <w:tc>
          <w:tcPr>
            <w:tcW w:w="1754" w:type="dxa"/>
            <w:vAlign w:val="center"/>
          </w:tcPr>
          <w:p w:rsidR="00AE4D26" w:rsidRDefault="003F5D13">
            <w:pPr>
              <w:snapToGrid w:val="0"/>
              <w:jc w:val="center"/>
              <w:rPr>
                <w:rFonts w:ascii="宋体" w:eastAsia="宋体" w:hAnsi="宋体" w:cs="宋体"/>
              </w:rPr>
            </w:pPr>
            <w:r>
              <w:rPr>
                <w:rFonts w:ascii="宋体" w:eastAsia="宋体" w:hAnsi="宋体" w:cs="宋体" w:hint="eastAsia"/>
              </w:rPr>
              <w:t>产品分类</w:t>
            </w:r>
          </w:p>
        </w:tc>
        <w:tc>
          <w:tcPr>
            <w:tcW w:w="2295" w:type="dxa"/>
            <w:vAlign w:val="center"/>
          </w:tcPr>
          <w:p w:rsidR="00AE4D26" w:rsidRDefault="003F5D13">
            <w:pPr>
              <w:adjustRightInd w:val="0"/>
              <w:snapToGrid w:val="0"/>
              <w:spacing w:line="0" w:lineRule="atLeast"/>
              <w:jc w:val="center"/>
              <w:rPr>
                <w:rFonts w:ascii="宋体" w:eastAsia="宋体" w:hAnsi="宋体" w:cs="宋体"/>
              </w:rPr>
            </w:pPr>
            <w:r>
              <w:rPr>
                <w:rFonts w:ascii="宋体" w:eastAsia="宋体" w:hAnsi="宋体" w:cs="宋体" w:hint="eastAsia"/>
              </w:rPr>
              <w:t>一级分类</w:t>
            </w:r>
          </w:p>
        </w:tc>
        <w:tc>
          <w:tcPr>
            <w:tcW w:w="2149" w:type="dxa"/>
            <w:vAlign w:val="center"/>
          </w:tcPr>
          <w:p w:rsidR="00AE4D26" w:rsidRDefault="003F5D13">
            <w:pPr>
              <w:adjustRightInd w:val="0"/>
              <w:snapToGrid w:val="0"/>
              <w:spacing w:line="0" w:lineRule="atLeast"/>
              <w:jc w:val="center"/>
              <w:rPr>
                <w:rFonts w:ascii="宋体" w:eastAsia="宋体" w:hAnsi="宋体" w:cs="宋体"/>
              </w:rPr>
            </w:pPr>
            <w:r>
              <w:rPr>
                <w:rFonts w:ascii="宋体" w:eastAsia="宋体" w:hAnsi="宋体" w:cs="宋体" w:hint="eastAsia"/>
              </w:rPr>
              <w:t>二级分类</w:t>
            </w:r>
          </w:p>
        </w:tc>
        <w:tc>
          <w:tcPr>
            <w:tcW w:w="2183" w:type="dxa"/>
            <w:vAlign w:val="center"/>
          </w:tcPr>
          <w:p w:rsidR="00AE4D26" w:rsidRDefault="003F5D13">
            <w:pPr>
              <w:adjustRightInd w:val="0"/>
              <w:snapToGrid w:val="0"/>
              <w:spacing w:line="0" w:lineRule="atLeast"/>
              <w:jc w:val="center"/>
              <w:rPr>
                <w:rFonts w:ascii="宋体" w:eastAsia="宋体" w:hAnsi="宋体" w:cs="宋体"/>
              </w:rPr>
            </w:pPr>
            <w:r>
              <w:rPr>
                <w:rFonts w:ascii="宋体" w:eastAsia="宋体" w:hAnsi="宋体" w:cs="宋体" w:hint="eastAsia"/>
              </w:rPr>
              <w:t>三级分类</w:t>
            </w:r>
          </w:p>
        </w:tc>
      </w:tr>
      <w:tr w:rsidR="00AE4D26">
        <w:trPr>
          <w:trHeight w:val="567"/>
          <w:jc w:val="center"/>
        </w:trPr>
        <w:tc>
          <w:tcPr>
            <w:tcW w:w="1754" w:type="dxa"/>
            <w:vAlign w:val="center"/>
          </w:tcPr>
          <w:p w:rsidR="00AE4D26" w:rsidRDefault="003F5D13">
            <w:pPr>
              <w:snapToGrid w:val="0"/>
              <w:jc w:val="center"/>
              <w:rPr>
                <w:rFonts w:ascii="宋体" w:eastAsia="宋体" w:hAnsi="宋体" w:cs="宋体"/>
              </w:rPr>
            </w:pPr>
            <w:r>
              <w:rPr>
                <w:rFonts w:ascii="宋体" w:eastAsia="宋体" w:hAnsi="宋体" w:cs="宋体" w:hint="eastAsia"/>
              </w:rPr>
              <w:t>分类代码</w:t>
            </w:r>
          </w:p>
        </w:tc>
        <w:tc>
          <w:tcPr>
            <w:tcW w:w="2295" w:type="dxa"/>
            <w:vAlign w:val="center"/>
          </w:tcPr>
          <w:p w:rsidR="00AE4D26" w:rsidRDefault="003F5D13">
            <w:pPr>
              <w:adjustRightInd w:val="0"/>
              <w:snapToGrid w:val="0"/>
              <w:spacing w:line="0" w:lineRule="atLeast"/>
              <w:jc w:val="center"/>
              <w:rPr>
                <w:rFonts w:ascii="宋体" w:eastAsia="宋体" w:hAnsi="宋体" w:cs="宋体"/>
              </w:rPr>
            </w:pPr>
            <w:r>
              <w:rPr>
                <w:rFonts w:ascii="宋体" w:eastAsia="宋体" w:hAnsi="宋体" w:cs="宋体"/>
              </w:rPr>
              <w:t>3</w:t>
            </w:r>
          </w:p>
        </w:tc>
        <w:tc>
          <w:tcPr>
            <w:tcW w:w="2149" w:type="dxa"/>
            <w:vAlign w:val="center"/>
          </w:tcPr>
          <w:p w:rsidR="00AE4D26" w:rsidRDefault="003F5D13">
            <w:pPr>
              <w:adjustRightInd w:val="0"/>
              <w:snapToGrid w:val="0"/>
              <w:spacing w:line="0" w:lineRule="atLeast"/>
              <w:jc w:val="center"/>
              <w:rPr>
                <w:rFonts w:ascii="宋体" w:eastAsia="宋体" w:hAnsi="宋体" w:cs="宋体"/>
              </w:rPr>
            </w:pPr>
            <w:r>
              <w:rPr>
                <w:rFonts w:ascii="宋体" w:eastAsia="宋体" w:hAnsi="宋体" w:cs="宋体"/>
              </w:rPr>
              <w:t>306</w:t>
            </w:r>
          </w:p>
        </w:tc>
        <w:tc>
          <w:tcPr>
            <w:tcW w:w="2183" w:type="dxa"/>
            <w:vAlign w:val="center"/>
          </w:tcPr>
          <w:p w:rsidR="00AE4D26" w:rsidRDefault="003F5D13">
            <w:pPr>
              <w:adjustRightInd w:val="0"/>
              <w:snapToGrid w:val="0"/>
              <w:spacing w:line="0" w:lineRule="atLeast"/>
              <w:jc w:val="center"/>
              <w:rPr>
                <w:rFonts w:ascii="宋体" w:eastAsia="宋体" w:hAnsi="宋体" w:cs="宋体"/>
              </w:rPr>
            </w:pPr>
            <w:r>
              <w:rPr>
                <w:rFonts w:ascii="宋体" w:eastAsia="宋体" w:hAnsi="宋体" w:cs="宋体"/>
              </w:rPr>
              <w:t>306.7</w:t>
            </w:r>
          </w:p>
        </w:tc>
      </w:tr>
      <w:tr w:rsidR="00AE4D26">
        <w:trPr>
          <w:trHeight w:val="567"/>
          <w:jc w:val="center"/>
        </w:trPr>
        <w:tc>
          <w:tcPr>
            <w:tcW w:w="1754" w:type="dxa"/>
            <w:vAlign w:val="center"/>
          </w:tcPr>
          <w:p w:rsidR="00AE4D26" w:rsidRDefault="003F5D13">
            <w:pPr>
              <w:snapToGrid w:val="0"/>
              <w:jc w:val="center"/>
              <w:rPr>
                <w:rFonts w:ascii="宋体" w:eastAsia="宋体" w:hAnsi="宋体" w:cs="宋体"/>
              </w:rPr>
            </w:pPr>
            <w:r>
              <w:rPr>
                <w:rFonts w:ascii="宋体" w:eastAsia="宋体" w:hAnsi="宋体" w:cs="宋体" w:hint="eastAsia"/>
              </w:rPr>
              <w:t>分类名称</w:t>
            </w:r>
          </w:p>
        </w:tc>
        <w:tc>
          <w:tcPr>
            <w:tcW w:w="2295" w:type="dxa"/>
            <w:vAlign w:val="center"/>
          </w:tcPr>
          <w:p w:rsidR="00AE4D26" w:rsidRDefault="003F5D13">
            <w:pPr>
              <w:adjustRightInd w:val="0"/>
              <w:snapToGrid w:val="0"/>
              <w:spacing w:line="0" w:lineRule="atLeast"/>
              <w:jc w:val="center"/>
              <w:rPr>
                <w:rFonts w:ascii="宋体" w:eastAsia="宋体" w:hAnsi="宋体" w:cs="宋体"/>
              </w:rPr>
            </w:pPr>
            <w:r>
              <w:rPr>
                <w:rFonts w:ascii="宋体" w:eastAsia="宋体" w:hAnsi="宋体" w:cs="宋体" w:hint="eastAsia"/>
              </w:rPr>
              <w:t>轻工产品</w:t>
            </w:r>
          </w:p>
        </w:tc>
        <w:tc>
          <w:tcPr>
            <w:tcW w:w="2149" w:type="dxa"/>
            <w:vAlign w:val="center"/>
          </w:tcPr>
          <w:p w:rsidR="00AE4D26" w:rsidRDefault="003F5D13">
            <w:pPr>
              <w:adjustRightInd w:val="0"/>
              <w:snapToGrid w:val="0"/>
              <w:spacing w:line="0" w:lineRule="atLeast"/>
              <w:jc w:val="center"/>
              <w:rPr>
                <w:rFonts w:ascii="宋体" w:eastAsia="宋体" w:hAnsi="宋体" w:cs="宋体"/>
              </w:rPr>
            </w:pPr>
            <w:r>
              <w:rPr>
                <w:rFonts w:ascii="宋体" w:eastAsia="宋体" w:hAnsi="宋体" w:cs="宋体" w:hint="eastAsia"/>
              </w:rPr>
              <w:t>其他日用消费品</w:t>
            </w:r>
          </w:p>
        </w:tc>
        <w:tc>
          <w:tcPr>
            <w:tcW w:w="2183" w:type="dxa"/>
            <w:vAlign w:val="center"/>
          </w:tcPr>
          <w:p w:rsidR="00AE4D26" w:rsidRDefault="003F5D13">
            <w:pPr>
              <w:adjustRightInd w:val="0"/>
              <w:snapToGrid w:val="0"/>
              <w:spacing w:line="0" w:lineRule="atLeast"/>
              <w:jc w:val="center"/>
              <w:rPr>
                <w:rFonts w:ascii="宋体" w:eastAsia="宋体" w:hAnsi="宋体" w:cs="宋体"/>
              </w:rPr>
            </w:pPr>
            <w:r>
              <w:rPr>
                <w:rFonts w:ascii="宋体" w:eastAsia="宋体" w:hAnsi="宋体" w:cs="宋体" w:hint="eastAsia"/>
              </w:rPr>
              <w:t>接触食品用金属器皿及工具</w:t>
            </w:r>
          </w:p>
        </w:tc>
      </w:tr>
    </w:tbl>
    <w:p w:rsidR="00AE4D26" w:rsidRDefault="003F5D13">
      <w:pPr>
        <w:adjustRightInd w:val="0"/>
        <w:snapToGrid w:val="0"/>
        <w:spacing w:beforeLines="50" w:before="156"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2.2</w:t>
      </w:r>
      <w:r>
        <w:rPr>
          <w:rFonts w:ascii="仿宋_GB2312" w:hAnsi="仿宋_GB2312" w:cs="仿宋_GB2312" w:hint="eastAsia"/>
          <w:sz w:val="28"/>
          <w:szCs w:val="28"/>
        </w:rPr>
        <w:t>产品种类</w:t>
      </w:r>
    </w:p>
    <w:p w:rsidR="00AE4D26" w:rsidRDefault="003F5D13">
      <w:pPr>
        <w:snapToGrid w:val="0"/>
        <w:spacing w:line="594" w:lineRule="exact"/>
        <w:ind w:firstLineChars="200" w:firstLine="560"/>
        <w:rPr>
          <w:rFonts w:ascii="仿宋_GB2312"/>
          <w:sz w:val="28"/>
          <w:szCs w:val="28"/>
        </w:rPr>
      </w:pPr>
      <w:r>
        <w:rPr>
          <w:rFonts w:ascii="仿宋_GB2312" w:hint="eastAsia"/>
          <w:sz w:val="28"/>
          <w:szCs w:val="28"/>
        </w:rPr>
        <w:t>本次抽查的产品类型包括：食品接触用金属餐具、厨具、炊具及器皿等。</w:t>
      </w:r>
    </w:p>
    <w:p w:rsidR="00AE4D26" w:rsidRDefault="003F5D1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2.3</w:t>
      </w:r>
      <w:r>
        <w:rPr>
          <w:rFonts w:ascii="仿宋_GB2312" w:hAnsi="仿宋_GB2312" w:cs="仿宋_GB2312" w:hint="eastAsia"/>
          <w:sz w:val="28"/>
          <w:szCs w:val="28"/>
        </w:rPr>
        <w:t>术语和定义</w:t>
      </w:r>
    </w:p>
    <w:p w:rsidR="00AE4D26" w:rsidRDefault="003F5D1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本细则中未列出的术语和定义同相关引用标准。</w:t>
      </w:r>
    </w:p>
    <w:p w:rsidR="00AE4D26" w:rsidRDefault="003F5D13">
      <w:pPr>
        <w:adjustRightInd w:val="0"/>
        <w:snapToGrid w:val="0"/>
        <w:spacing w:line="360" w:lineRule="auto"/>
        <w:ind w:firstLineChars="196" w:firstLine="551"/>
        <w:rPr>
          <w:rFonts w:ascii="仿宋_GB2312" w:hAnsi="仿宋_GB2312" w:cs="仿宋_GB2312"/>
          <w:sz w:val="28"/>
          <w:szCs w:val="28"/>
        </w:rPr>
      </w:pPr>
      <w:r>
        <w:rPr>
          <w:rFonts w:ascii="仿宋_GB2312" w:hAnsi="仿宋_GB2312" w:cs="仿宋_GB2312" w:hint="eastAsia"/>
          <w:b/>
          <w:bCs/>
          <w:sz w:val="28"/>
          <w:szCs w:val="28"/>
        </w:rPr>
        <w:t>3</w:t>
      </w:r>
      <w:r>
        <w:rPr>
          <w:rFonts w:ascii="仿宋_GB2312" w:hAnsi="仿宋_GB2312" w:cs="仿宋_GB2312" w:hint="eastAsia"/>
          <w:b/>
          <w:bCs/>
          <w:sz w:val="28"/>
          <w:szCs w:val="28"/>
        </w:rPr>
        <w:t>生产企业规模划分</w:t>
      </w:r>
    </w:p>
    <w:p w:rsidR="00AE4D26" w:rsidRDefault="003F5D13">
      <w:pPr>
        <w:adjustRightInd w:val="0"/>
        <w:snapToGrid w:val="0"/>
        <w:spacing w:line="360" w:lineRule="auto"/>
        <w:ind w:firstLineChars="196" w:firstLine="549"/>
        <w:rPr>
          <w:rFonts w:ascii="仿宋_GB2312" w:hAnsi="仿宋_GB2312" w:cs="仿宋_GB2312"/>
        </w:rPr>
      </w:pPr>
      <w:r>
        <w:rPr>
          <w:rFonts w:ascii="仿宋_GB2312" w:hAnsi="仿宋_GB2312" w:cs="仿宋_GB2312" w:hint="eastAsia"/>
          <w:sz w:val="28"/>
          <w:szCs w:val="28"/>
        </w:rPr>
        <w:t>根据国家统计局印发的相关管理办法，确定企业规模。</w:t>
      </w:r>
    </w:p>
    <w:p w:rsidR="00AE4D26" w:rsidRDefault="003F5D13">
      <w:pPr>
        <w:adjustRightInd w:val="0"/>
        <w:snapToGrid w:val="0"/>
        <w:spacing w:line="360" w:lineRule="auto"/>
        <w:ind w:firstLineChars="196" w:firstLine="551"/>
        <w:rPr>
          <w:rFonts w:ascii="仿宋_GB2312" w:hAnsi="仿宋_GB2312" w:cs="仿宋_GB2312"/>
          <w:sz w:val="28"/>
          <w:szCs w:val="28"/>
        </w:rPr>
      </w:pPr>
      <w:r>
        <w:rPr>
          <w:rFonts w:ascii="仿宋_GB2312" w:hAnsi="仿宋_GB2312" w:cs="仿宋_GB2312" w:hint="eastAsia"/>
          <w:b/>
          <w:bCs/>
          <w:sz w:val="28"/>
          <w:szCs w:val="28"/>
        </w:rPr>
        <w:t>4</w:t>
      </w:r>
      <w:r>
        <w:rPr>
          <w:rFonts w:ascii="仿宋_GB2312" w:hAnsi="仿宋_GB2312" w:cs="仿宋_GB2312" w:hint="eastAsia"/>
          <w:b/>
          <w:bCs/>
          <w:sz w:val="28"/>
          <w:szCs w:val="28"/>
        </w:rPr>
        <w:t>检验依据</w:t>
      </w:r>
    </w:p>
    <w:p w:rsidR="00AE4D26" w:rsidRDefault="003F5D1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凡是注日期的文件，其随后所有的修改单（不包括勘误的内容）或修订版不适用于本细则。凡是不注日期的文件，其最新版本适用于本细则。</w:t>
      </w:r>
    </w:p>
    <w:p w:rsidR="00AE4D26" w:rsidRDefault="003F5D13">
      <w:pPr>
        <w:snapToGrid w:val="0"/>
        <w:spacing w:line="360" w:lineRule="auto"/>
        <w:ind w:leftChars="177" w:left="372" w:firstLine="1"/>
        <w:rPr>
          <w:rFonts w:ascii="仿宋_GB2312" w:hAnsi="宋体"/>
          <w:sz w:val="28"/>
          <w:szCs w:val="28"/>
        </w:rPr>
      </w:pPr>
      <w:r>
        <w:rPr>
          <w:rFonts w:ascii="仿宋_GB2312" w:hAnsi="宋体" w:hint="eastAsia"/>
          <w:sz w:val="28"/>
          <w:szCs w:val="28"/>
        </w:rPr>
        <w:t xml:space="preserve">GB 4806.1-2016 </w:t>
      </w:r>
      <w:r>
        <w:rPr>
          <w:rFonts w:ascii="仿宋_GB2312" w:hAnsi="宋体" w:hint="eastAsia"/>
          <w:sz w:val="28"/>
          <w:szCs w:val="28"/>
        </w:rPr>
        <w:t>食品安全国家标准</w:t>
      </w:r>
      <w:r>
        <w:rPr>
          <w:rFonts w:ascii="仿宋_GB2312" w:hAnsi="宋体" w:hint="eastAsia"/>
          <w:sz w:val="28"/>
          <w:szCs w:val="28"/>
        </w:rPr>
        <w:t xml:space="preserve"> </w:t>
      </w:r>
      <w:r>
        <w:rPr>
          <w:rFonts w:ascii="仿宋_GB2312" w:hAnsi="宋体" w:hint="eastAsia"/>
          <w:sz w:val="28"/>
          <w:szCs w:val="28"/>
        </w:rPr>
        <w:t>食品接触材料及制品通用安</w:t>
      </w:r>
      <w:r>
        <w:rPr>
          <w:rFonts w:ascii="仿宋_GB2312" w:hAnsi="宋体" w:hint="eastAsia"/>
          <w:sz w:val="28"/>
          <w:szCs w:val="28"/>
        </w:rPr>
        <w:lastRenderedPageBreak/>
        <w:t>全要求</w:t>
      </w:r>
    </w:p>
    <w:p w:rsidR="00AE4D26" w:rsidRDefault="003F5D13">
      <w:pPr>
        <w:snapToGrid w:val="0"/>
        <w:spacing w:line="360" w:lineRule="auto"/>
        <w:ind w:leftChars="177" w:left="372" w:firstLine="1"/>
        <w:rPr>
          <w:rFonts w:ascii="仿宋_GB2312" w:hAnsi="宋体"/>
          <w:sz w:val="28"/>
          <w:szCs w:val="28"/>
        </w:rPr>
      </w:pPr>
      <w:r>
        <w:rPr>
          <w:rFonts w:ascii="仿宋_GB2312" w:hAnsi="宋体" w:hint="eastAsia"/>
          <w:sz w:val="28"/>
          <w:szCs w:val="28"/>
        </w:rPr>
        <w:t xml:space="preserve">GB 4806.9-2016 </w:t>
      </w:r>
      <w:r>
        <w:rPr>
          <w:rFonts w:ascii="仿宋_GB2312" w:hAnsi="宋体" w:hint="eastAsia"/>
          <w:sz w:val="28"/>
          <w:szCs w:val="28"/>
        </w:rPr>
        <w:t>食品安全国家标准</w:t>
      </w:r>
      <w:r>
        <w:rPr>
          <w:rFonts w:ascii="仿宋_GB2312" w:hAnsi="宋体" w:hint="eastAsia"/>
          <w:sz w:val="28"/>
          <w:szCs w:val="28"/>
        </w:rPr>
        <w:t xml:space="preserve"> </w:t>
      </w:r>
      <w:r>
        <w:rPr>
          <w:rFonts w:ascii="仿宋_GB2312" w:hAnsi="宋体" w:hint="eastAsia"/>
          <w:sz w:val="28"/>
          <w:szCs w:val="28"/>
        </w:rPr>
        <w:t>食品接触用金属材料及制品</w:t>
      </w:r>
    </w:p>
    <w:p w:rsidR="00AE4D26" w:rsidRDefault="003F5D13">
      <w:pPr>
        <w:snapToGrid w:val="0"/>
        <w:spacing w:line="360" w:lineRule="auto"/>
        <w:ind w:leftChars="177" w:left="372" w:firstLine="1"/>
        <w:rPr>
          <w:rFonts w:ascii="仿宋_GB2312" w:hAnsi="宋体"/>
          <w:sz w:val="28"/>
          <w:szCs w:val="28"/>
        </w:rPr>
      </w:pPr>
      <w:r>
        <w:rPr>
          <w:rFonts w:ascii="仿宋_GB2312" w:hAnsi="宋体" w:hint="eastAsia"/>
          <w:sz w:val="28"/>
          <w:szCs w:val="28"/>
        </w:rPr>
        <w:t>GB 31604.24</w:t>
      </w:r>
      <w:r>
        <w:rPr>
          <w:rFonts w:ascii="仿宋_GB2312" w:hAnsi="宋体" w:hint="eastAsia"/>
          <w:sz w:val="28"/>
          <w:szCs w:val="28"/>
        </w:rPr>
        <w:t>-2016</w:t>
      </w:r>
      <w:r>
        <w:rPr>
          <w:rFonts w:ascii="仿宋_GB2312" w:hAnsi="宋体" w:hint="eastAsia"/>
          <w:sz w:val="28"/>
          <w:szCs w:val="28"/>
        </w:rPr>
        <w:t>食品安全国家标准</w:t>
      </w:r>
      <w:r>
        <w:rPr>
          <w:rFonts w:ascii="仿宋_GB2312" w:hAnsi="宋体" w:hint="eastAsia"/>
          <w:sz w:val="28"/>
          <w:szCs w:val="28"/>
        </w:rPr>
        <w:t xml:space="preserve"> </w:t>
      </w:r>
      <w:r>
        <w:rPr>
          <w:rFonts w:ascii="仿宋_GB2312" w:hAnsi="宋体" w:hint="eastAsia"/>
          <w:sz w:val="28"/>
          <w:szCs w:val="28"/>
        </w:rPr>
        <w:t>食品接触材料及制品</w:t>
      </w:r>
      <w:r>
        <w:rPr>
          <w:rFonts w:ascii="仿宋_GB2312" w:hAnsi="宋体" w:hint="eastAsia"/>
          <w:sz w:val="28"/>
          <w:szCs w:val="28"/>
        </w:rPr>
        <w:t xml:space="preserve"> </w:t>
      </w:r>
      <w:r>
        <w:rPr>
          <w:rFonts w:ascii="仿宋_GB2312" w:hAnsi="宋体" w:hint="eastAsia"/>
          <w:sz w:val="28"/>
          <w:szCs w:val="28"/>
        </w:rPr>
        <w:t>镉迁移量的测定</w:t>
      </w:r>
    </w:p>
    <w:p w:rsidR="00AE4D26" w:rsidRDefault="003F5D13">
      <w:pPr>
        <w:snapToGrid w:val="0"/>
        <w:spacing w:line="360" w:lineRule="auto"/>
        <w:ind w:leftChars="177" w:left="372" w:firstLine="1"/>
        <w:rPr>
          <w:rFonts w:ascii="仿宋_GB2312" w:hAnsi="宋体"/>
          <w:sz w:val="28"/>
          <w:szCs w:val="28"/>
        </w:rPr>
      </w:pPr>
      <w:r>
        <w:rPr>
          <w:rFonts w:ascii="仿宋_GB2312" w:hAnsi="宋体" w:hint="eastAsia"/>
          <w:sz w:val="28"/>
          <w:szCs w:val="28"/>
        </w:rPr>
        <w:t>GB 31604.25-2016</w:t>
      </w:r>
      <w:r>
        <w:rPr>
          <w:rFonts w:ascii="仿宋_GB2312" w:hAnsi="宋体" w:hint="eastAsia"/>
          <w:sz w:val="28"/>
          <w:szCs w:val="28"/>
        </w:rPr>
        <w:t>食品安全国家标准</w:t>
      </w:r>
      <w:r>
        <w:rPr>
          <w:rFonts w:ascii="仿宋_GB2312" w:hAnsi="宋体" w:hint="eastAsia"/>
          <w:sz w:val="28"/>
          <w:szCs w:val="28"/>
        </w:rPr>
        <w:t xml:space="preserve"> </w:t>
      </w:r>
      <w:r>
        <w:rPr>
          <w:rFonts w:ascii="仿宋_GB2312" w:hAnsi="宋体" w:hint="eastAsia"/>
          <w:sz w:val="28"/>
          <w:szCs w:val="28"/>
        </w:rPr>
        <w:t>食品接触材料及制品</w:t>
      </w:r>
      <w:r>
        <w:rPr>
          <w:rFonts w:ascii="仿宋_GB2312" w:hAnsi="宋体" w:hint="eastAsia"/>
          <w:sz w:val="28"/>
          <w:szCs w:val="28"/>
        </w:rPr>
        <w:t xml:space="preserve"> </w:t>
      </w:r>
      <w:r>
        <w:rPr>
          <w:rFonts w:ascii="仿宋_GB2312" w:hAnsi="宋体" w:hint="eastAsia"/>
          <w:sz w:val="28"/>
          <w:szCs w:val="28"/>
        </w:rPr>
        <w:t>铬迁移量的测定</w:t>
      </w:r>
    </w:p>
    <w:p w:rsidR="00AE4D26" w:rsidRDefault="003F5D13">
      <w:pPr>
        <w:snapToGrid w:val="0"/>
        <w:spacing w:line="360" w:lineRule="auto"/>
        <w:ind w:leftChars="177" w:left="372" w:firstLine="1"/>
        <w:rPr>
          <w:rFonts w:ascii="仿宋_GB2312" w:hAnsi="宋体"/>
          <w:sz w:val="28"/>
          <w:szCs w:val="28"/>
        </w:rPr>
      </w:pPr>
      <w:r>
        <w:rPr>
          <w:rFonts w:ascii="仿宋_GB2312" w:hAnsi="宋体" w:hint="eastAsia"/>
          <w:sz w:val="28"/>
          <w:szCs w:val="28"/>
        </w:rPr>
        <w:t>GB 31604.33-2016</w:t>
      </w:r>
      <w:r>
        <w:rPr>
          <w:rFonts w:ascii="仿宋_GB2312" w:hAnsi="宋体" w:hint="eastAsia"/>
          <w:sz w:val="28"/>
          <w:szCs w:val="28"/>
        </w:rPr>
        <w:t>食品安全国家标准</w:t>
      </w:r>
      <w:r>
        <w:rPr>
          <w:rFonts w:ascii="仿宋_GB2312" w:hAnsi="宋体" w:hint="eastAsia"/>
          <w:sz w:val="28"/>
          <w:szCs w:val="28"/>
        </w:rPr>
        <w:t xml:space="preserve"> </w:t>
      </w:r>
      <w:r>
        <w:rPr>
          <w:rFonts w:ascii="仿宋_GB2312" w:hAnsi="宋体" w:hint="eastAsia"/>
          <w:sz w:val="28"/>
          <w:szCs w:val="28"/>
        </w:rPr>
        <w:t>食品接触材料及制品</w:t>
      </w:r>
      <w:r>
        <w:rPr>
          <w:rFonts w:ascii="仿宋_GB2312" w:hAnsi="宋体" w:hint="eastAsia"/>
          <w:sz w:val="28"/>
          <w:szCs w:val="28"/>
        </w:rPr>
        <w:t xml:space="preserve"> </w:t>
      </w:r>
      <w:r>
        <w:rPr>
          <w:rFonts w:ascii="仿宋_GB2312" w:hAnsi="宋体" w:hint="eastAsia"/>
          <w:sz w:val="28"/>
          <w:szCs w:val="28"/>
        </w:rPr>
        <w:t>镍迁移量的测定</w:t>
      </w:r>
    </w:p>
    <w:p w:rsidR="00AE4D26" w:rsidRDefault="003F5D13">
      <w:pPr>
        <w:snapToGrid w:val="0"/>
        <w:spacing w:line="360" w:lineRule="auto"/>
        <w:ind w:leftChars="177" w:left="372" w:firstLine="1"/>
        <w:rPr>
          <w:rFonts w:ascii="仿宋_GB2312" w:hAnsi="宋体"/>
          <w:sz w:val="28"/>
          <w:szCs w:val="28"/>
        </w:rPr>
      </w:pPr>
      <w:r>
        <w:rPr>
          <w:rFonts w:ascii="仿宋_GB2312" w:hAnsi="宋体" w:hint="eastAsia"/>
          <w:sz w:val="28"/>
          <w:szCs w:val="28"/>
        </w:rPr>
        <w:t>GB 31604.34-2016</w:t>
      </w:r>
      <w:r>
        <w:rPr>
          <w:rFonts w:ascii="仿宋_GB2312" w:hAnsi="宋体" w:hint="eastAsia"/>
          <w:sz w:val="28"/>
          <w:szCs w:val="28"/>
        </w:rPr>
        <w:t>食品安全国家标准</w:t>
      </w:r>
      <w:r>
        <w:rPr>
          <w:rFonts w:ascii="仿宋_GB2312" w:hAnsi="宋体" w:hint="eastAsia"/>
          <w:sz w:val="28"/>
          <w:szCs w:val="28"/>
        </w:rPr>
        <w:t xml:space="preserve"> </w:t>
      </w:r>
      <w:r>
        <w:rPr>
          <w:rFonts w:ascii="仿宋_GB2312" w:hAnsi="宋体" w:hint="eastAsia"/>
          <w:sz w:val="28"/>
          <w:szCs w:val="28"/>
        </w:rPr>
        <w:t>食品接触材料及制品</w:t>
      </w:r>
      <w:r>
        <w:rPr>
          <w:rFonts w:ascii="仿宋_GB2312" w:hAnsi="宋体" w:hint="eastAsia"/>
          <w:sz w:val="28"/>
          <w:szCs w:val="28"/>
        </w:rPr>
        <w:t xml:space="preserve"> </w:t>
      </w:r>
      <w:r>
        <w:rPr>
          <w:rFonts w:ascii="仿宋_GB2312" w:hAnsi="宋体" w:hint="eastAsia"/>
          <w:sz w:val="28"/>
          <w:szCs w:val="28"/>
        </w:rPr>
        <w:t>铅的测定和迁移量的测定</w:t>
      </w:r>
    </w:p>
    <w:p w:rsidR="00AE4D26" w:rsidRDefault="003F5D13">
      <w:pPr>
        <w:snapToGrid w:val="0"/>
        <w:spacing w:line="360" w:lineRule="auto"/>
        <w:ind w:leftChars="177" w:left="372" w:firstLine="1"/>
        <w:rPr>
          <w:rFonts w:ascii="仿宋_GB2312" w:hAnsi="宋体"/>
          <w:sz w:val="28"/>
          <w:szCs w:val="28"/>
        </w:rPr>
      </w:pPr>
      <w:r>
        <w:rPr>
          <w:rFonts w:ascii="仿宋_GB2312" w:hAnsi="宋体" w:hint="eastAsia"/>
          <w:sz w:val="28"/>
          <w:szCs w:val="28"/>
        </w:rPr>
        <w:t>GB 31604.38-2016</w:t>
      </w:r>
      <w:r>
        <w:rPr>
          <w:rFonts w:ascii="仿宋_GB2312" w:hAnsi="宋体" w:hint="eastAsia"/>
          <w:sz w:val="28"/>
          <w:szCs w:val="28"/>
        </w:rPr>
        <w:t>食品安全国家标准</w:t>
      </w:r>
      <w:r>
        <w:rPr>
          <w:rFonts w:ascii="仿宋_GB2312" w:hAnsi="宋体" w:hint="eastAsia"/>
          <w:sz w:val="28"/>
          <w:szCs w:val="28"/>
        </w:rPr>
        <w:t xml:space="preserve"> </w:t>
      </w:r>
      <w:r>
        <w:rPr>
          <w:rFonts w:ascii="仿宋_GB2312" w:hAnsi="宋体" w:hint="eastAsia"/>
          <w:sz w:val="28"/>
          <w:szCs w:val="28"/>
        </w:rPr>
        <w:t>食品接触材料及制品</w:t>
      </w:r>
      <w:r>
        <w:rPr>
          <w:rFonts w:ascii="仿宋_GB2312" w:hAnsi="宋体" w:hint="eastAsia"/>
          <w:sz w:val="28"/>
          <w:szCs w:val="28"/>
        </w:rPr>
        <w:t xml:space="preserve"> </w:t>
      </w:r>
      <w:r>
        <w:rPr>
          <w:rFonts w:ascii="仿宋_GB2312" w:hAnsi="宋体" w:hint="eastAsia"/>
          <w:sz w:val="28"/>
          <w:szCs w:val="28"/>
        </w:rPr>
        <w:t>砷迁移量的测定</w:t>
      </w:r>
    </w:p>
    <w:p w:rsidR="00AE4D26" w:rsidRDefault="003F5D13">
      <w:pPr>
        <w:snapToGrid w:val="0"/>
        <w:spacing w:line="360" w:lineRule="auto"/>
        <w:ind w:leftChars="177" w:left="372" w:firstLine="1"/>
        <w:rPr>
          <w:rFonts w:ascii="仿宋_GB2312" w:hAnsi="宋体"/>
          <w:sz w:val="28"/>
          <w:szCs w:val="28"/>
        </w:rPr>
      </w:pPr>
      <w:r>
        <w:rPr>
          <w:rFonts w:ascii="仿宋_GB2312" w:hAnsi="宋体" w:hint="eastAsia"/>
          <w:sz w:val="28"/>
          <w:szCs w:val="28"/>
        </w:rPr>
        <w:t>GB 31604.49-2016</w:t>
      </w:r>
      <w:r>
        <w:rPr>
          <w:rFonts w:ascii="仿宋_GB2312" w:hAnsi="宋体" w:hint="eastAsia"/>
          <w:sz w:val="28"/>
          <w:szCs w:val="28"/>
        </w:rPr>
        <w:t>食品安全国家标准</w:t>
      </w:r>
      <w:r>
        <w:rPr>
          <w:rFonts w:ascii="仿宋_GB2312" w:hAnsi="宋体" w:hint="eastAsia"/>
          <w:sz w:val="28"/>
          <w:szCs w:val="28"/>
        </w:rPr>
        <w:t xml:space="preserve"> </w:t>
      </w:r>
      <w:r>
        <w:rPr>
          <w:rFonts w:ascii="仿宋_GB2312" w:hAnsi="宋体" w:hint="eastAsia"/>
          <w:sz w:val="28"/>
          <w:szCs w:val="28"/>
        </w:rPr>
        <w:t>食品接触用材料及制品</w:t>
      </w:r>
      <w:r>
        <w:rPr>
          <w:rFonts w:ascii="仿宋_GB2312" w:hAnsi="宋体" w:hint="eastAsia"/>
          <w:sz w:val="28"/>
          <w:szCs w:val="28"/>
        </w:rPr>
        <w:t xml:space="preserve"> </w:t>
      </w:r>
      <w:r>
        <w:rPr>
          <w:rFonts w:ascii="仿宋_GB2312" w:hAnsi="宋体" w:hint="eastAsia"/>
          <w:sz w:val="28"/>
          <w:szCs w:val="28"/>
        </w:rPr>
        <w:t>砷、镉、铬、铅的测定和砷</w:t>
      </w:r>
      <w:r>
        <w:rPr>
          <w:rFonts w:ascii="仿宋_GB2312" w:hAnsi="宋体" w:hint="eastAsia"/>
          <w:sz w:val="28"/>
          <w:szCs w:val="28"/>
        </w:rPr>
        <w:t>、镉、铬、镍、铅、锑、锌迁移量的测定</w:t>
      </w:r>
    </w:p>
    <w:p w:rsidR="00AE4D26" w:rsidRDefault="003F5D13">
      <w:pPr>
        <w:spacing w:line="360" w:lineRule="auto"/>
        <w:ind w:firstLineChars="228" w:firstLine="638"/>
        <w:rPr>
          <w:rFonts w:ascii="仿宋_GB2312" w:hAnsi="仿宋_GB2312" w:cs="仿宋_GB2312"/>
          <w:sz w:val="28"/>
          <w:szCs w:val="28"/>
        </w:rPr>
      </w:pPr>
      <w:r>
        <w:rPr>
          <w:rFonts w:ascii="仿宋_GB2312" w:hAnsi="仿宋_GB2312" w:cs="仿宋_GB2312" w:hint="eastAsia"/>
          <w:sz w:val="28"/>
          <w:szCs w:val="28"/>
        </w:rPr>
        <w:t>相关的法律法规、部门规章和规范</w:t>
      </w:r>
    </w:p>
    <w:p w:rsidR="00AE4D26" w:rsidRDefault="003F5D13">
      <w:pPr>
        <w:spacing w:line="360" w:lineRule="auto"/>
        <w:ind w:firstLineChars="228" w:firstLine="638"/>
        <w:rPr>
          <w:rFonts w:ascii="仿宋_GB2312" w:hAnsi="仿宋_GB2312" w:cs="仿宋_GB2312"/>
          <w:color w:val="000000"/>
          <w:sz w:val="28"/>
          <w:szCs w:val="28"/>
        </w:rPr>
      </w:pPr>
      <w:r>
        <w:rPr>
          <w:rFonts w:ascii="仿宋_GB2312" w:hAnsi="仿宋_GB2312" w:cs="仿宋_GB2312" w:hint="eastAsia"/>
          <w:sz w:val="28"/>
          <w:szCs w:val="28"/>
        </w:rPr>
        <w:t>现行有效的企业标准、团体标准、地方标准及产品明示质量要求</w:t>
      </w:r>
    </w:p>
    <w:p w:rsidR="00AE4D26" w:rsidRDefault="003F5D13">
      <w:pPr>
        <w:spacing w:line="360" w:lineRule="auto"/>
        <w:ind w:firstLineChars="200" w:firstLine="562"/>
        <w:rPr>
          <w:rFonts w:ascii="仿宋_GB2312" w:hAnsi="仿宋_GB2312" w:cs="仿宋_GB2312"/>
          <w:b/>
          <w:bCs/>
          <w:color w:val="000000"/>
          <w:sz w:val="28"/>
          <w:szCs w:val="28"/>
        </w:rPr>
      </w:pPr>
      <w:r>
        <w:rPr>
          <w:rFonts w:ascii="仿宋_GB2312" w:hAnsi="仿宋_GB2312" w:cs="仿宋_GB2312" w:hint="eastAsia"/>
          <w:b/>
          <w:bCs/>
          <w:sz w:val="28"/>
          <w:szCs w:val="28"/>
        </w:rPr>
        <w:t>5</w:t>
      </w:r>
      <w:r>
        <w:rPr>
          <w:rFonts w:ascii="仿宋_GB2312" w:hAnsi="仿宋_GB2312" w:cs="仿宋_GB2312" w:hint="eastAsia"/>
          <w:b/>
          <w:bCs/>
          <w:sz w:val="28"/>
          <w:szCs w:val="28"/>
        </w:rPr>
        <w:t>抽样</w:t>
      </w:r>
    </w:p>
    <w:p w:rsidR="00AE4D26" w:rsidRDefault="003F5D13">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5.1</w:t>
      </w:r>
      <w:r>
        <w:rPr>
          <w:rFonts w:ascii="仿宋_GB2312" w:hAnsi="仿宋_GB2312" w:cs="仿宋_GB2312" w:hint="eastAsia"/>
          <w:sz w:val="28"/>
          <w:szCs w:val="28"/>
        </w:rPr>
        <w:t>抽样型号或规格</w:t>
      </w:r>
    </w:p>
    <w:p w:rsidR="00AE4D26" w:rsidRDefault="003F5D13">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抽取样品应为同一型号规格、同一批次的产品。随机抽样工具选择扑克牌或骰子，随机数一般可使用随机数表、骰子或扑克牌等方法产生。</w:t>
      </w:r>
      <w:r>
        <w:rPr>
          <w:rFonts w:ascii="仿宋_GB2312" w:hAnsi="仿宋_GB2312" w:cs="仿宋_GB2312" w:hint="eastAsia"/>
          <w:sz w:val="28"/>
          <w:szCs w:val="28"/>
        </w:rPr>
        <w:t xml:space="preserve">            </w:t>
      </w:r>
    </w:p>
    <w:p w:rsidR="00AE4D26" w:rsidRDefault="003F5D13">
      <w:pPr>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5.2</w:t>
      </w:r>
      <w:r>
        <w:rPr>
          <w:rFonts w:ascii="仿宋_GB2312" w:hAnsi="仿宋_GB2312" w:cs="仿宋_GB2312" w:hint="eastAsia"/>
          <w:sz w:val="28"/>
          <w:szCs w:val="28"/>
        </w:rPr>
        <w:t>抽样基数、抽样数量</w:t>
      </w:r>
    </w:p>
    <w:p w:rsidR="00AE4D26" w:rsidRDefault="003F5D13">
      <w:pPr>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5.2.1</w:t>
      </w:r>
      <w:r>
        <w:rPr>
          <w:rFonts w:ascii="仿宋_GB2312" w:hAnsi="仿宋_GB2312" w:cs="仿宋_GB2312" w:hint="eastAsia"/>
          <w:sz w:val="28"/>
          <w:szCs w:val="28"/>
        </w:rPr>
        <w:t>抽样基数</w:t>
      </w:r>
    </w:p>
    <w:p w:rsidR="00AE4D26" w:rsidRDefault="003F5D13">
      <w:pPr>
        <w:adjustRightInd w:val="0"/>
        <w:snapToGrid w:val="0"/>
        <w:spacing w:line="360" w:lineRule="auto"/>
        <w:ind w:firstLineChars="200" w:firstLine="560"/>
        <w:rPr>
          <w:rFonts w:ascii="仿宋_GB2312"/>
          <w:kern w:val="0"/>
          <w:sz w:val="28"/>
          <w:szCs w:val="28"/>
        </w:rPr>
      </w:pPr>
      <w:r>
        <w:rPr>
          <w:rFonts w:ascii="仿宋_GB2312" w:hint="eastAsia"/>
          <w:sz w:val="28"/>
          <w:szCs w:val="28"/>
        </w:rPr>
        <w:t>抽样基数满足抽样数量即可。</w:t>
      </w:r>
    </w:p>
    <w:p w:rsidR="00AE4D26" w:rsidRDefault="003F5D13">
      <w:pPr>
        <w:spacing w:line="360" w:lineRule="auto"/>
        <w:ind w:firstLineChars="200" w:firstLine="560"/>
        <w:rPr>
          <w:rFonts w:ascii="仿宋_GB2312" w:hAnsi="仿宋_GB2312" w:cs="仿宋_GB2312"/>
          <w:color w:val="000000"/>
          <w:sz w:val="28"/>
          <w:szCs w:val="28"/>
        </w:rPr>
      </w:pPr>
      <w:r>
        <w:rPr>
          <w:rFonts w:ascii="仿宋_GB2312" w:hAnsi="仿宋_GB2312" w:cs="仿宋_GB2312" w:hint="eastAsia"/>
          <w:color w:val="000000"/>
          <w:sz w:val="28"/>
          <w:szCs w:val="28"/>
        </w:rPr>
        <w:lastRenderedPageBreak/>
        <w:t>5.2.2</w:t>
      </w:r>
      <w:r>
        <w:rPr>
          <w:rFonts w:ascii="仿宋_GB2312" w:hAnsi="仿宋_GB2312" w:cs="仿宋_GB2312" w:hint="eastAsia"/>
          <w:color w:val="000000"/>
          <w:sz w:val="28"/>
          <w:szCs w:val="28"/>
        </w:rPr>
        <w:t>抽样方法</w:t>
      </w:r>
    </w:p>
    <w:p w:rsidR="00AE4D26" w:rsidRDefault="003F5D13">
      <w:pPr>
        <w:adjustRightInd w:val="0"/>
        <w:snapToGrid w:val="0"/>
        <w:spacing w:line="360" w:lineRule="auto"/>
        <w:ind w:firstLineChars="200" w:firstLine="560"/>
        <w:rPr>
          <w:rFonts w:ascii="仿宋_GB2312"/>
          <w:kern w:val="0"/>
          <w:sz w:val="28"/>
          <w:szCs w:val="28"/>
        </w:rPr>
      </w:pPr>
      <w:r>
        <w:rPr>
          <w:rFonts w:ascii="仿宋_GB2312" w:hint="eastAsia"/>
          <w:sz w:val="28"/>
          <w:szCs w:val="28"/>
        </w:rPr>
        <w:t>样品选择应根据贮存情况确定。如存在多个规格型号可以抽取的，优先按以下原则抽取：（</w:t>
      </w:r>
      <w:r>
        <w:rPr>
          <w:rFonts w:ascii="仿宋_GB2312" w:hint="eastAsia"/>
          <w:sz w:val="28"/>
          <w:szCs w:val="28"/>
        </w:rPr>
        <w:t>1</w:t>
      </w:r>
      <w:r w:rsidR="002D0964">
        <w:rPr>
          <w:rFonts w:ascii="仿宋_GB2312" w:hint="eastAsia"/>
          <w:sz w:val="28"/>
          <w:szCs w:val="28"/>
        </w:rPr>
        <w:t>）优先抽取</w:t>
      </w:r>
      <w:r>
        <w:rPr>
          <w:rFonts w:ascii="仿宋_GB2312" w:hint="eastAsia"/>
          <w:sz w:val="28"/>
          <w:szCs w:val="28"/>
        </w:rPr>
        <w:t>生产工艺较复杂的主导产品；（</w:t>
      </w:r>
      <w:r>
        <w:rPr>
          <w:rFonts w:ascii="仿宋_GB2312" w:hint="eastAsia"/>
          <w:sz w:val="28"/>
          <w:szCs w:val="28"/>
        </w:rPr>
        <w:t>2</w:t>
      </w:r>
      <w:r>
        <w:rPr>
          <w:rFonts w:ascii="仿宋_GB2312" w:hint="eastAsia"/>
          <w:sz w:val="28"/>
          <w:szCs w:val="28"/>
        </w:rPr>
        <w:t>）优先抽取</w:t>
      </w:r>
      <w:r>
        <w:rPr>
          <w:rFonts w:ascii="仿宋_GB2312" w:hint="eastAsia"/>
          <w:sz w:val="28"/>
          <w:szCs w:val="28"/>
        </w:rPr>
        <w:t>S/V</w:t>
      </w:r>
      <w:r>
        <w:rPr>
          <w:rFonts w:ascii="仿宋_GB2312" w:hint="eastAsia"/>
          <w:sz w:val="28"/>
          <w:szCs w:val="28"/>
        </w:rPr>
        <w:t>（表面积体积比）最大的产品（即相同工艺和形状中容积较小的产品）。</w:t>
      </w:r>
    </w:p>
    <w:p w:rsidR="00AE4D26" w:rsidRDefault="003F5D13">
      <w:pPr>
        <w:spacing w:line="360" w:lineRule="auto"/>
        <w:ind w:firstLineChars="200" w:firstLine="560"/>
        <w:rPr>
          <w:rFonts w:ascii="仿宋_GB2312" w:hAnsi="仿宋_GB2312" w:cs="仿宋_GB2312"/>
          <w:sz w:val="28"/>
          <w:szCs w:val="28"/>
          <w:lang w:eastAsia="zh-Hans"/>
        </w:rPr>
      </w:pPr>
      <w:r>
        <w:rPr>
          <w:rFonts w:ascii="仿宋_GB2312" w:hAnsi="仿宋_GB2312" w:cs="仿宋_GB2312" w:hint="eastAsia"/>
          <w:sz w:val="28"/>
          <w:szCs w:val="28"/>
        </w:rPr>
        <w:t>从企业出厂检验合格</w:t>
      </w:r>
      <w:r>
        <w:rPr>
          <w:rFonts w:ascii="仿宋_GB2312" w:hAnsi="仿宋_GB2312" w:cs="仿宋_GB2312" w:hint="eastAsia"/>
          <w:sz w:val="28"/>
          <w:szCs w:val="28"/>
          <w:lang w:eastAsia="zh-Hans"/>
        </w:rPr>
        <w:t>或</w:t>
      </w:r>
      <w:r>
        <w:rPr>
          <w:rFonts w:ascii="仿宋_GB2312" w:hAnsi="仿宋_GB2312" w:cs="仿宋_GB2312" w:hint="eastAsia"/>
          <w:sz w:val="28"/>
          <w:szCs w:val="28"/>
        </w:rPr>
        <w:t>经销企业待销</w:t>
      </w:r>
      <w:r>
        <w:rPr>
          <w:rFonts w:ascii="仿宋_GB2312" w:hAnsi="仿宋_GB2312" w:cs="仿宋_GB2312" w:hint="eastAsia"/>
          <w:sz w:val="28"/>
          <w:szCs w:val="28"/>
          <w:lang w:eastAsia="zh-Hans"/>
        </w:rPr>
        <w:t>产品中</w:t>
      </w:r>
      <w:r>
        <w:rPr>
          <w:rFonts w:ascii="仿宋_GB2312" w:hAnsi="仿宋_GB2312" w:cs="仿宋_GB2312" w:hint="eastAsia"/>
          <w:sz w:val="28"/>
          <w:szCs w:val="28"/>
        </w:rPr>
        <w:t>的同一批产品不同部位等量抽取，抽取的样品应有代表性，所抽样品分成二份，一份为检验样品；一份为备用样品。</w:t>
      </w:r>
    </w:p>
    <w:p w:rsidR="00AE4D26" w:rsidRDefault="003F5D13">
      <w:pPr>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5.2.3</w:t>
      </w:r>
      <w:r>
        <w:rPr>
          <w:rFonts w:ascii="仿宋_GB2312" w:hAnsi="仿宋_GB2312" w:cs="仿宋_GB2312" w:hint="eastAsia"/>
          <w:sz w:val="28"/>
          <w:szCs w:val="28"/>
        </w:rPr>
        <w:t>抽样数量</w:t>
      </w:r>
    </w:p>
    <w:p w:rsidR="00AE4D26" w:rsidRDefault="003F5D13">
      <w:pPr>
        <w:adjustRightInd w:val="0"/>
        <w:snapToGrid w:val="0"/>
        <w:spacing w:line="360" w:lineRule="auto"/>
        <w:ind w:firstLineChars="200" w:firstLine="560"/>
        <w:rPr>
          <w:rFonts w:ascii="仿宋_GB2312"/>
          <w:kern w:val="0"/>
          <w:sz w:val="28"/>
          <w:szCs w:val="28"/>
        </w:rPr>
      </w:pPr>
      <w:r>
        <w:rPr>
          <w:rFonts w:ascii="仿宋_GB2312" w:hint="eastAsia"/>
          <w:kern w:val="0"/>
          <w:sz w:val="28"/>
          <w:szCs w:val="28"/>
        </w:rPr>
        <w:t>每批次产品随机抽取样品</w:t>
      </w:r>
      <w:r>
        <w:rPr>
          <w:rFonts w:ascii="仿宋_GB2312" w:hint="eastAsia"/>
          <w:kern w:val="0"/>
          <w:sz w:val="28"/>
          <w:szCs w:val="28"/>
        </w:rPr>
        <w:t>4</w:t>
      </w:r>
      <w:r>
        <w:rPr>
          <w:rFonts w:ascii="仿宋_GB2312" w:hint="eastAsia"/>
          <w:kern w:val="0"/>
          <w:sz w:val="28"/>
          <w:szCs w:val="28"/>
        </w:rPr>
        <w:t>件，其中</w:t>
      </w:r>
      <w:r>
        <w:rPr>
          <w:rFonts w:ascii="仿宋_GB2312" w:hint="eastAsia"/>
          <w:kern w:val="0"/>
          <w:sz w:val="28"/>
          <w:szCs w:val="28"/>
        </w:rPr>
        <w:t>2</w:t>
      </w:r>
      <w:r>
        <w:rPr>
          <w:rFonts w:ascii="仿宋_GB2312" w:hint="eastAsia"/>
          <w:kern w:val="0"/>
          <w:sz w:val="28"/>
          <w:szCs w:val="28"/>
        </w:rPr>
        <w:t>件作为检验样品，</w:t>
      </w:r>
      <w:r>
        <w:rPr>
          <w:rFonts w:ascii="仿宋_GB2312" w:hint="eastAsia"/>
          <w:kern w:val="0"/>
          <w:sz w:val="28"/>
          <w:szCs w:val="28"/>
        </w:rPr>
        <w:t>2</w:t>
      </w:r>
      <w:r>
        <w:rPr>
          <w:rFonts w:ascii="仿宋_GB2312" w:hint="eastAsia"/>
          <w:kern w:val="0"/>
          <w:sz w:val="28"/>
          <w:szCs w:val="28"/>
        </w:rPr>
        <w:t>件作为备用样品。抽样时，按实际最小销售包装折算成检样和备样数量，以保证检样数量及备样数量不少</w:t>
      </w:r>
      <w:r>
        <w:rPr>
          <w:rFonts w:ascii="仿宋_GB2312" w:hint="eastAsia"/>
          <w:kern w:val="0"/>
          <w:sz w:val="28"/>
          <w:szCs w:val="28"/>
        </w:rPr>
        <w:t>于规定要求，避免打开原包装。</w:t>
      </w:r>
    </w:p>
    <w:p w:rsidR="00AE4D26" w:rsidRDefault="003F5D13">
      <w:pPr>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5.2.4</w:t>
      </w:r>
      <w:r>
        <w:rPr>
          <w:rFonts w:ascii="仿宋_GB2312" w:hAnsi="仿宋_GB2312" w:cs="仿宋_GB2312" w:hint="eastAsia"/>
          <w:sz w:val="28"/>
          <w:szCs w:val="28"/>
        </w:rPr>
        <w:t>抽样时应注意的问题</w:t>
      </w:r>
    </w:p>
    <w:p w:rsidR="00AE4D26" w:rsidRDefault="003F5D13">
      <w:pPr>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5.2.4.1</w:t>
      </w:r>
      <w:r>
        <w:rPr>
          <w:rFonts w:ascii="仿宋_GB2312" w:hAnsi="仿宋_GB2312" w:cs="仿宋_GB2312" w:hint="eastAsia"/>
          <w:sz w:val="28"/>
          <w:szCs w:val="28"/>
        </w:rPr>
        <w:t>应由抽样技术人员在现场进行抽取，不得由企业自行抽样。抽取的样品应当是有产品质量检验合格证明或者以其他形式表明合格的产品。</w:t>
      </w:r>
    </w:p>
    <w:p w:rsidR="00AE4D26" w:rsidRDefault="003F5D13">
      <w:pPr>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5.2.4.2</w:t>
      </w:r>
      <w:r>
        <w:rPr>
          <w:rFonts w:ascii="仿宋_GB2312" w:hAnsi="仿宋_GB2312" w:cs="仿宋_GB2312" w:hint="eastAsia"/>
          <w:sz w:val="28"/>
          <w:szCs w:val="28"/>
        </w:rPr>
        <w:t>抽样时，抽样人员应当认真核实营业执照等被抽查企业的相关信息，确认企业不存在不得抽样的情形。遇有下列情况之一且能提供有效证明的，不得抽样：</w:t>
      </w:r>
      <w:r>
        <w:rPr>
          <w:rFonts w:ascii="仿宋_GB2312" w:hAnsi="仿宋_GB2312" w:cs="仿宋_GB2312" w:hint="eastAsia"/>
          <w:sz w:val="28"/>
          <w:szCs w:val="28"/>
        </w:rPr>
        <w:t xml:space="preserve"> </w:t>
      </w:r>
    </w:p>
    <w:p w:rsidR="00AE4D26" w:rsidRDefault="003F5D13">
      <w:pPr>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1</w:t>
      </w:r>
      <w:r>
        <w:rPr>
          <w:rFonts w:ascii="仿宋_GB2312" w:hAnsi="仿宋_GB2312" w:cs="仿宋_GB2312" w:hint="eastAsia"/>
          <w:sz w:val="28"/>
          <w:szCs w:val="28"/>
        </w:rPr>
        <w:t>）被抽查企业无监督抽查通知书或者相关文件复印件所列产品的；</w:t>
      </w:r>
    </w:p>
    <w:p w:rsidR="00AE4D26" w:rsidRDefault="003F5D1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2</w:t>
      </w:r>
      <w:r>
        <w:rPr>
          <w:rFonts w:ascii="仿宋_GB2312" w:hAnsi="仿宋_GB2312" w:cs="仿宋_GB2312" w:hint="eastAsia"/>
          <w:sz w:val="28"/>
          <w:szCs w:val="28"/>
        </w:rPr>
        <w:t>）有充分证据证明拟抽查的产品是不用于销售的；</w:t>
      </w:r>
    </w:p>
    <w:p w:rsidR="00AE4D26" w:rsidRDefault="003F5D1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3</w:t>
      </w:r>
      <w:r>
        <w:rPr>
          <w:rFonts w:ascii="仿宋_GB2312" w:hAnsi="仿宋_GB2312" w:cs="仿宋_GB2312" w:hint="eastAsia"/>
          <w:sz w:val="28"/>
          <w:szCs w:val="28"/>
        </w:rPr>
        <w:t>）产品不涉及强制性标准要求，仅按双方约定的技</w:t>
      </w:r>
      <w:r>
        <w:rPr>
          <w:rFonts w:ascii="仿宋_GB2312" w:hAnsi="仿宋_GB2312" w:cs="仿宋_GB2312" w:hint="eastAsia"/>
          <w:sz w:val="28"/>
          <w:szCs w:val="28"/>
        </w:rPr>
        <w:t>术要求加</w:t>
      </w:r>
      <w:r>
        <w:rPr>
          <w:rFonts w:ascii="仿宋_GB2312" w:hAnsi="仿宋_GB2312" w:cs="仿宋_GB2312" w:hint="eastAsia"/>
          <w:sz w:val="28"/>
          <w:szCs w:val="28"/>
        </w:rPr>
        <w:lastRenderedPageBreak/>
        <w:t>工生产，且未执行任何标准的；</w:t>
      </w:r>
    </w:p>
    <w:p w:rsidR="00AE4D26" w:rsidRDefault="003F5D1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4</w:t>
      </w:r>
      <w:r>
        <w:rPr>
          <w:rFonts w:ascii="仿宋_GB2312" w:hAnsi="仿宋_GB2312" w:cs="仿宋_GB2312" w:hint="eastAsia"/>
          <w:sz w:val="28"/>
          <w:szCs w:val="28"/>
        </w:rPr>
        <w:t>）有充分证据证明拟抽查的产品为企业用于出口，并且出口合同对产品质量另有规定的；</w:t>
      </w:r>
    </w:p>
    <w:p w:rsidR="00AE4D26" w:rsidRDefault="003F5D1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5</w:t>
      </w:r>
      <w:r>
        <w:rPr>
          <w:rFonts w:ascii="仿宋_GB2312" w:hAnsi="仿宋_GB2312" w:cs="仿宋_GB2312" w:hint="eastAsia"/>
          <w:sz w:val="28"/>
          <w:szCs w:val="28"/>
        </w:rPr>
        <w:t>）产品或者标签、包装、说明书标有“试制”“处理”或者“样品”等字样的；</w:t>
      </w:r>
    </w:p>
    <w:p w:rsidR="00AE4D26" w:rsidRDefault="003F5D1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6</w:t>
      </w:r>
      <w:r>
        <w:rPr>
          <w:rFonts w:ascii="仿宋_GB2312" w:hAnsi="仿宋_GB2312" w:cs="仿宋_GB2312" w:hint="eastAsia"/>
          <w:sz w:val="28"/>
          <w:szCs w:val="28"/>
        </w:rPr>
        <w:t>）企业提供上级市场监管部门</w:t>
      </w:r>
      <w:r>
        <w:rPr>
          <w:rFonts w:ascii="仿宋_GB2312" w:hAnsi="仿宋_GB2312" w:cs="仿宋_GB2312" w:hint="eastAsia"/>
          <w:sz w:val="28"/>
          <w:szCs w:val="28"/>
        </w:rPr>
        <w:t>6</w:t>
      </w:r>
      <w:r>
        <w:rPr>
          <w:rFonts w:ascii="仿宋_GB2312" w:hAnsi="仿宋_GB2312" w:cs="仿宋_GB2312" w:hint="eastAsia"/>
          <w:sz w:val="28"/>
          <w:szCs w:val="28"/>
        </w:rPr>
        <w:t>个月内该种产品的监督抽查抽样单或者合格检验报告的。</w:t>
      </w:r>
    </w:p>
    <w:p w:rsidR="00AE4D26" w:rsidRDefault="003F5D1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5.3</w:t>
      </w:r>
      <w:r>
        <w:rPr>
          <w:rFonts w:ascii="仿宋_GB2312" w:hAnsi="仿宋_GB2312" w:cs="仿宋_GB2312" w:hint="eastAsia"/>
          <w:sz w:val="28"/>
          <w:szCs w:val="28"/>
        </w:rPr>
        <w:t>样品处置</w:t>
      </w:r>
    </w:p>
    <w:p w:rsidR="00AE4D26" w:rsidRDefault="003F5D1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检验样品及备用样品应分别封样，抽取的样品（连同其原包装和使用说明）用清洁的包装袋（箱）密封包装后加贴封条封样。包装的方式应能防止样品在运送过程中损坏或被污染，封样的方式应能有效防止未经授权的拆封。</w:t>
      </w:r>
    </w:p>
    <w:p w:rsidR="00AE4D26" w:rsidRDefault="003F5D1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封样单上应有被抽查企业和抽样技术人员的签名，注明抽样日期，并确认封样单牢固。</w:t>
      </w:r>
    </w:p>
    <w:p w:rsidR="00AE4D26" w:rsidRDefault="003F5D1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5.4</w:t>
      </w:r>
      <w:r>
        <w:rPr>
          <w:rFonts w:ascii="仿宋_GB2312" w:hAnsi="仿宋_GB2312" w:cs="仿宋_GB2312" w:hint="eastAsia"/>
          <w:sz w:val="28"/>
          <w:szCs w:val="28"/>
        </w:rPr>
        <w:t>抽样单</w:t>
      </w:r>
    </w:p>
    <w:p w:rsidR="00AE4D26" w:rsidRDefault="003F5D1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应按有关规定填写抽样单，并记录被抽查产品及企业相关信息。同时记录被抽查企业上一年度生产的食品接触用金属制品相应产品销售额，以万元计；若企业上一年度未生产，则记录本年度实际销售额，并加以注明。</w:t>
      </w:r>
    </w:p>
    <w:p w:rsidR="00AE4D26" w:rsidRDefault="003F5D13">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5.5</w:t>
      </w:r>
      <w:r>
        <w:rPr>
          <w:rFonts w:ascii="仿宋_GB2312" w:hAnsi="仿宋_GB2312" w:cs="仿宋_GB2312" w:hint="eastAsia"/>
          <w:sz w:val="28"/>
          <w:szCs w:val="28"/>
        </w:rPr>
        <w:t>样品获取方式</w:t>
      </w:r>
    </w:p>
    <w:p w:rsidR="00AE4D26" w:rsidRDefault="003F5D13">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监督抽查所需的样品要在受检单位以购买方式获取。</w:t>
      </w:r>
    </w:p>
    <w:p w:rsidR="00AE4D26" w:rsidRDefault="003F5D13">
      <w:pPr>
        <w:adjustRightInd w:val="0"/>
        <w:snapToGrid w:val="0"/>
        <w:spacing w:line="360" w:lineRule="auto"/>
        <w:ind w:firstLineChars="196" w:firstLine="551"/>
        <w:rPr>
          <w:rFonts w:ascii="仿宋_GB2312" w:hAnsi="仿宋_GB2312" w:cs="仿宋_GB2312"/>
          <w:b/>
          <w:bCs/>
          <w:sz w:val="28"/>
          <w:szCs w:val="28"/>
        </w:rPr>
      </w:pPr>
      <w:bookmarkStart w:id="0" w:name="_GoBack"/>
      <w:bookmarkEnd w:id="0"/>
      <w:r>
        <w:rPr>
          <w:rFonts w:ascii="仿宋_GB2312" w:hAnsi="仿宋_GB2312" w:cs="仿宋_GB2312" w:hint="eastAsia"/>
          <w:b/>
          <w:bCs/>
          <w:sz w:val="28"/>
          <w:szCs w:val="28"/>
        </w:rPr>
        <w:t>6</w:t>
      </w:r>
      <w:r>
        <w:rPr>
          <w:rFonts w:ascii="仿宋_GB2312" w:hAnsi="仿宋_GB2312" w:cs="仿宋_GB2312" w:hint="eastAsia"/>
          <w:b/>
          <w:bCs/>
          <w:sz w:val="28"/>
          <w:szCs w:val="28"/>
        </w:rPr>
        <w:t>检验要求</w:t>
      </w:r>
    </w:p>
    <w:p w:rsidR="00AE4D26" w:rsidRDefault="003F5D13">
      <w:pPr>
        <w:adjustRightInd w:val="0"/>
        <w:snapToGrid w:val="0"/>
        <w:spacing w:line="360" w:lineRule="auto"/>
        <w:ind w:firstLineChars="196" w:firstLine="549"/>
        <w:rPr>
          <w:rFonts w:ascii="仿宋_GB2312" w:hAnsi="仿宋_GB2312" w:cs="仿宋_GB2312"/>
        </w:rPr>
      </w:pPr>
      <w:r>
        <w:rPr>
          <w:rFonts w:ascii="仿宋_GB2312" w:hAnsi="仿宋_GB2312" w:cs="仿宋_GB2312" w:hint="eastAsia"/>
          <w:sz w:val="28"/>
          <w:szCs w:val="28"/>
        </w:rPr>
        <w:t>6.1</w:t>
      </w:r>
      <w:r>
        <w:rPr>
          <w:rFonts w:ascii="仿宋_GB2312" w:hAnsi="仿宋_GB2312" w:cs="仿宋_GB2312" w:hint="eastAsia"/>
          <w:sz w:val="28"/>
          <w:szCs w:val="28"/>
        </w:rPr>
        <w:t>检验项目</w:t>
      </w:r>
    </w:p>
    <w:p w:rsidR="00AE4D26" w:rsidRDefault="003F5D13">
      <w:pPr>
        <w:widowControl/>
        <w:jc w:val="center"/>
        <w:rPr>
          <w:rFonts w:ascii="宋体" w:eastAsia="宋体" w:hAnsi="宋体" w:cs="宋体"/>
        </w:rPr>
      </w:pPr>
      <w:r>
        <w:rPr>
          <w:rFonts w:ascii="宋体" w:eastAsia="宋体" w:hAnsi="宋体" w:cs="宋体" w:hint="eastAsia"/>
        </w:rPr>
        <w:t>表</w:t>
      </w:r>
      <w:r>
        <w:rPr>
          <w:rFonts w:ascii="宋体" w:eastAsia="宋体" w:hAnsi="宋体" w:cs="宋体" w:hint="eastAsia"/>
        </w:rPr>
        <w:t xml:space="preserve">2 </w:t>
      </w:r>
      <w:r>
        <w:rPr>
          <w:rFonts w:ascii="宋体" w:eastAsia="宋体" w:hAnsi="宋体" w:cs="宋体" w:hint="eastAsia"/>
        </w:rPr>
        <w:t>食品接触用金属材料及制品检验项目</w:t>
      </w:r>
    </w:p>
    <w:tbl>
      <w:tblPr>
        <w:tblW w:w="52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1660"/>
        <w:gridCol w:w="2412"/>
        <w:gridCol w:w="3724"/>
      </w:tblGrid>
      <w:tr w:rsidR="00AE4D26">
        <w:trPr>
          <w:trHeight w:hRule="exact" w:val="567"/>
          <w:jc w:val="center"/>
        </w:trPr>
        <w:tc>
          <w:tcPr>
            <w:tcW w:w="867" w:type="dxa"/>
            <w:vAlign w:val="center"/>
          </w:tcPr>
          <w:p w:rsidR="00AE4D26" w:rsidRDefault="003F5D13">
            <w:pPr>
              <w:snapToGrid w:val="0"/>
              <w:jc w:val="center"/>
              <w:rPr>
                <w:rFonts w:ascii="宋体" w:eastAsia="宋体" w:hAnsi="宋体" w:cs="宋体"/>
              </w:rPr>
            </w:pPr>
            <w:r>
              <w:rPr>
                <w:rFonts w:ascii="宋体" w:eastAsia="宋体" w:hAnsi="宋体" w:cs="宋体" w:hint="eastAsia"/>
                <w:color w:val="000000"/>
              </w:rPr>
              <w:t>序号</w:t>
            </w:r>
          </w:p>
        </w:tc>
        <w:tc>
          <w:tcPr>
            <w:tcW w:w="1713" w:type="dxa"/>
            <w:vAlign w:val="center"/>
          </w:tcPr>
          <w:p w:rsidR="00AE4D26" w:rsidRDefault="003F5D13">
            <w:pPr>
              <w:snapToGrid w:val="0"/>
              <w:jc w:val="center"/>
              <w:rPr>
                <w:rFonts w:ascii="宋体" w:eastAsia="宋体" w:hAnsi="宋体" w:cs="宋体"/>
              </w:rPr>
            </w:pPr>
            <w:r>
              <w:rPr>
                <w:rFonts w:ascii="宋体" w:eastAsia="宋体" w:hAnsi="宋体" w:cs="宋体" w:hint="eastAsia"/>
                <w:color w:val="000000"/>
              </w:rPr>
              <w:t>检验项目</w:t>
            </w:r>
          </w:p>
        </w:tc>
        <w:tc>
          <w:tcPr>
            <w:tcW w:w="2475" w:type="dxa"/>
            <w:vAlign w:val="center"/>
          </w:tcPr>
          <w:p w:rsidR="00AE4D26" w:rsidRDefault="003F5D13">
            <w:pPr>
              <w:snapToGrid w:val="0"/>
              <w:jc w:val="center"/>
              <w:rPr>
                <w:rFonts w:ascii="宋体" w:eastAsia="宋体" w:hAnsi="宋体" w:cs="宋体"/>
              </w:rPr>
            </w:pPr>
            <w:r>
              <w:rPr>
                <w:rFonts w:ascii="宋体" w:eastAsia="宋体" w:hAnsi="宋体" w:cs="宋体" w:hint="eastAsia"/>
                <w:color w:val="000000"/>
              </w:rPr>
              <w:t>检验依据</w:t>
            </w:r>
          </w:p>
        </w:tc>
        <w:tc>
          <w:tcPr>
            <w:tcW w:w="3825" w:type="dxa"/>
            <w:vAlign w:val="center"/>
          </w:tcPr>
          <w:p w:rsidR="00AE4D26" w:rsidRDefault="003F5D13">
            <w:pPr>
              <w:snapToGrid w:val="0"/>
              <w:jc w:val="center"/>
              <w:rPr>
                <w:rFonts w:ascii="宋体" w:eastAsia="宋体" w:hAnsi="宋体" w:cs="宋体"/>
              </w:rPr>
            </w:pPr>
            <w:r>
              <w:rPr>
                <w:rFonts w:ascii="宋体" w:eastAsia="宋体" w:hAnsi="宋体" w:cs="宋体" w:hint="eastAsia"/>
                <w:color w:val="000000"/>
              </w:rPr>
              <w:t>检验方法</w:t>
            </w:r>
          </w:p>
        </w:tc>
      </w:tr>
      <w:tr w:rsidR="00AE4D26">
        <w:trPr>
          <w:trHeight w:hRule="exact" w:val="567"/>
          <w:jc w:val="center"/>
        </w:trPr>
        <w:tc>
          <w:tcPr>
            <w:tcW w:w="867" w:type="dxa"/>
            <w:vAlign w:val="center"/>
          </w:tcPr>
          <w:p w:rsidR="00AE4D26" w:rsidRDefault="003F5D13">
            <w:pPr>
              <w:adjustRightInd w:val="0"/>
              <w:snapToGrid w:val="0"/>
              <w:jc w:val="center"/>
              <w:rPr>
                <w:rFonts w:ascii="宋体" w:eastAsia="宋体" w:hAnsi="宋体" w:cs="宋体"/>
              </w:rPr>
            </w:pPr>
            <w:r>
              <w:rPr>
                <w:rFonts w:ascii="宋体" w:eastAsia="宋体" w:hAnsi="宋体" w:cs="宋体" w:hint="eastAsia"/>
              </w:rPr>
              <w:lastRenderedPageBreak/>
              <w:t>1</w:t>
            </w:r>
          </w:p>
        </w:tc>
        <w:tc>
          <w:tcPr>
            <w:tcW w:w="1713" w:type="dxa"/>
            <w:vAlign w:val="center"/>
          </w:tcPr>
          <w:p w:rsidR="00AE4D26" w:rsidRDefault="003F5D13">
            <w:pPr>
              <w:adjustRightInd w:val="0"/>
              <w:snapToGrid w:val="0"/>
              <w:jc w:val="center"/>
              <w:rPr>
                <w:rFonts w:ascii="宋体" w:eastAsia="宋体" w:hAnsi="宋体" w:cs="宋体"/>
              </w:rPr>
            </w:pPr>
            <w:r>
              <w:rPr>
                <w:rFonts w:ascii="宋体" w:eastAsia="宋体" w:hAnsi="宋体" w:cs="宋体" w:hint="eastAsia"/>
              </w:rPr>
              <w:t>感官要求</w:t>
            </w:r>
          </w:p>
        </w:tc>
        <w:tc>
          <w:tcPr>
            <w:tcW w:w="2475" w:type="dxa"/>
            <w:vAlign w:val="center"/>
          </w:tcPr>
          <w:p w:rsidR="00AE4D26" w:rsidRDefault="003F5D13">
            <w:pPr>
              <w:adjustRightInd w:val="0"/>
              <w:snapToGrid w:val="0"/>
              <w:jc w:val="center"/>
              <w:rPr>
                <w:rFonts w:ascii="宋体" w:eastAsia="宋体" w:hAnsi="宋体" w:cs="宋体"/>
              </w:rPr>
            </w:pPr>
            <w:r>
              <w:rPr>
                <w:rFonts w:ascii="宋体" w:eastAsia="宋体" w:hAnsi="宋体" w:cs="宋体" w:hint="eastAsia"/>
              </w:rPr>
              <w:t>GB 4806.9-2016  4.2</w:t>
            </w:r>
          </w:p>
        </w:tc>
        <w:tc>
          <w:tcPr>
            <w:tcW w:w="3825" w:type="dxa"/>
            <w:vAlign w:val="center"/>
          </w:tcPr>
          <w:p w:rsidR="00AE4D26" w:rsidRDefault="003F5D13">
            <w:pPr>
              <w:adjustRightInd w:val="0"/>
              <w:snapToGrid w:val="0"/>
              <w:jc w:val="left"/>
              <w:rPr>
                <w:rFonts w:ascii="宋体" w:eastAsia="宋体" w:hAnsi="宋体" w:cs="宋体"/>
              </w:rPr>
            </w:pPr>
            <w:r>
              <w:rPr>
                <w:rFonts w:ascii="宋体" w:eastAsia="宋体" w:hAnsi="宋体" w:cs="宋体" w:hint="eastAsia"/>
              </w:rPr>
              <w:t>GB 4806.9-2016</w:t>
            </w:r>
          </w:p>
        </w:tc>
      </w:tr>
      <w:tr w:rsidR="00AE4D26">
        <w:trPr>
          <w:trHeight w:hRule="exact" w:val="1605"/>
          <w:jc w:val="center"/>
        </w:trPr>
        <w:tc>
          <w:tcPr>
            <w:tcW w:w="867" w:type="dxa"/>
            <w:vAlign w:val="center"/>
          </w:tcPr>
          <w:p w:rsidR="00AE4D26" w:rsidRDefault="003F5D13">
            <w:pPr>
              <w:adjustRightInd w:val="0"/>
              <w:snapToGrid w:val="0"/>
              <w:jc w:val="center"/>
              <w:rPr>
                <w:rFonts w:ascii="宋体" w:eastAsia="宋体" w:hAnsi="宋体" w:cs="宋体"/>
              </w:rPr>
            </w:pPr>
            <w:r>
              <w:rPr>
                <w:rFonts w:ascii="宋体" w:eastAsia="宋体" w:hAnsi="宋体" w:cs="宋体" w:hint="eastAsia"/>
              </w:rPr>
              <w:t>2</w:t>
            </w:r>
          </w:p>
        </w:tc>
        <w:tc>
          <w:tcPr>
            <w:tcW w:w="1713" w:type="dxa"/>
            <w:vAlign w:val="center"/>
          </w:tcPr>
          <w:p w:rsidR="00AE4D26" w:rsidRDefault="003F5D13">
            <w:pPr>
              <w:snapToGrid w:val="0"/>
              <w:spacing w:line="440" w:lineRule="exact"/>
              <w:jc w:val="center"/>
              <w:rPr>
                <w:rFonts w:ascii="宋体" w:eastAsia="宋体" w:hAnsi="宋体" w:cs="宋体"/>
              </w:rPr>
            </w:pPr>
            <w:r>
              <w:rPr>
                <w:rFonts w:ascii="宋体" w:eastAsia="宋体" w:hAnsi="宋体" w:hint="eastAsia"/>
              </w:rPr>
              <w:t>铅的迁移量</w:t>
            </w:r>
          </w:p>
        </w:tc>
        <w:tc>
          <w:tcPr>
            <w:tcW w:w="2475" w:type="dxa"/>
            <w:vAlign w:val="center"/>
          </w:tcPr>
          <w:p w:rsidR="00AE4D26" w:rsidRDefault="003F5D13">
            <w:pPr>
              <w:adjustRightInd w:val="0"/>
              <w:snapToGrid w:val="0"/>
              <w:jc w:val="center"/>
              <w:rPr>
                <w:rFonts w:ascii="宋体" w:eastAsia="宋体" w:hAnsi="宋体" w:cs="宋体"/>
              </w:rPr>
            </w:pPr>
            <w:r>
              <w:rPr>
                <w:rFonts w:ascii="宋体" w:eastAsia="宋体" w:hAnsi="宋体" w:cs="宋体" w:hint="eastAsia"/>
              </w:rPr>
              <w:t>GB 4806.9-2016  4.3</w:t>
            </w:r>
          </w:p>
        </w:tc>
        <w:tc>
          <w:tcPr>
            <w:tcW w:w="3825" w:type="dxa"/>
            <w:vAlign w:val="center"/>
          </w:tcPr>
          <w:p w:rsidR="00AE4D26" w:rsidRDefault="003F5D13">
            <w:pPr>
              <w:adjustRightInd w:val="0"/>
              <w:snapToGrid w:val="0"/>
              <w:spacing w:line="360" w:lineRule="auto"/>
              <w:jc w:val="left"/>
              <w:rPr>
                <w:rFonts w:ascii="宋体" w:eastAsia="宋体" w:hAnsi="宋体" w:cs="宋体"/>
              </w:rPr>
            </w:pPr>
            <w:r>
              <w:rPr>
                <w:rFonts w:ascii="宋体" w:eastAsia="宋体" w:hAnsi="宋体" w:cs="宋体" w:hint="eastAsia"/>
              </w:rPr>
              <w:t>GB 4806.9-2016</w:t>
            </w:r>
          </w:p>
          <w:p w:rsidR="00AE4D26" w:rsidRDefault="003F5D13">
            <w:pPr>
              <w:adjustRightInd w:val="0"/>
              <w:snapToGrid w:val="0"/>
              <w:spacing w:line="360" w:lineRule="auto"/>
              <w:jc w:val="left"/>
              <w:rPr>
                <w:rFonts w:ascii="宋体" w:eastAsia="宋体" w:hAnsi="宋体" w:cs="宋体"/>
              </w:rPr>
            </w:pPr>
            <w:r>
              <w:rPr>
                <w:rFonts w:ascii="宋体" w:eastAsia="宋体" w:hAnsi="宋体" w:cs="宋体" w:hint="eastAsia"/>
              </w:rPr>
              <w:t xml:space="preserve">GB 31604.49-2016 </w:t>
            </w:r>
            <w:r>
              <w:rPr>
                <w:rFonts w:ascii="宋体" w:eastAsia="宋体" w:hAnsi="宋体" w:cs="宋体" w:hint="eastAsia"/>
              </w:rPr>
              <w:t>第二部分</w:t>
            </w:r>
            <w:r>
              <w:rPr>
                <w:rFonts w:ascii="宋体" w:eastAsia="宋体" w:hAnsi="宋体" w:cs="宋体" w:hint="eastAsia"/>
              </w:rPr>
              <w:t xml:space="preserve"> </w:t>
            </w:r>
            <w:r>
              <w:rPr>
                <w:rFonts w:ascii="宋体" w:eastAsia="宋体" w:hAnsi="宋体" w:cs="宋体" w:hint="eastAsia"/>
              </w:rPr>
              <w:t>第二法</w:t>
            </w:r>
            <w:r>
              <w:rPr>
                <w:rFonts w:ascii="宋体" w:eastAsia="宋体" w:hAnsi="宋体" w:cs="宋体" w:hint="eastAsia"/>
              </w:rPr>
              <w:t>或</w:t>
            </w:r>
          </w:p>
          <w:p w:rsidR="00AE4D26" w:rsidRDefault="003F5D13">
            <w:pPr>
              <w:adjustRightInd w:val="0"/>
              <w:snapToGrid w:val="0"/>
              <w:spacing w:line="360" w:lineRule="auto"/>
              <w:jc w:val="left"/>
              <w:rPr>
                <w:rFonts w:ascii="宋体" w:eastAsia="宋体" w:hAnsi="宋体"/>
              </w:rPr>
            </w:pPr>
            <w:r>
              <w:rPr>
                <w:rFonts w:ascii="宋体" w:eastAsia="宋体" w:hAnsi="宋体" w:cs="宋体" w:hint="eastAsia"/>
              </w:rPr>
              <w:t xml:space="preserve">GB </w:t>
            </w:r>
            <w:r>
              <w:rPr>
                <w:rFonts w:ascii="宋体" w:eastAsia="宋体" w:hAnsi="宋体" w:cs="宋体" w:hint="eastAsia"/>
              </w:rPr>
              <w:t xml:space="preserve">31604.34-2016 </w:t>
            </w:r>
            <w:r>
              <w:rPr>
                <w:rFonts w:ascii="宋体" w:eastAsia="宋体" w:hAnsi="宋体" w:cs="宋体" w:hint="eastAsia"/>
              </w:rPr>
              <w:t>第二部分</w:t>
            </w:r>
            <w:r>
              <w:rPr>
                <w:rFonts w:ascii="宋体" w:eastAsia="宋体" w:hAnsi="宋体" w:cs="宋体" w:hint="eastAsia"/>
              </w:rPr>
              <w:t xml:space="preserve"> </w:t>
            </w:r>
            <w:r>
              <w:rPr>
                <w:rFonts w:ascii="宋体" w:eastAsia="宋体" w:hAnsi="宋体" w:cs="宋体" w:hint="eastAsia"/>
              </w:rPr>
              <w:t>第三法、第四法</w:t>
            </w:r>
          </w:p>
        </w:tc>
      </w:tr>
      <w:tr w:rsidR="00AE4D26">
        <w:trPr>
          <w:trHeight w:hRule="exact" w:val="1486"/>
          <w:jc w:val="center"/>
        </w:trPr>
        <w:tc>
          <w:tcPr>
            <w:tcW w:w="867" w:type="dxa"/>
            <w:vAlign w:val="center"/>
          </w:tcPr>
          <w:p w:rsidR="00AE4D26" w:rsidRDefault="003F5D13">
            <w:pPr>
              <w:adjustRightInd w:val="0"/>
              <w:snapToGrid w:val="0"/>
              <w:jc w:val="center"/>
              <w:rPr>
                <w:rFonts w:ascii="宋体" w:eastAsia="宋体" w:hAnsi="宋体" w:cs="宋体"/>
              </w:rPr>
            </w:pPr>
            <w:r>
              <w:rPr>
                <w:rFonts w:ascii="宋体" w:eastAsia="宋体" w:hAnsi="宋体" w:cs="宋体" w:hint="eastAsia"/>
              </w:rPr>
              <w:t>3</w:t>
            </w:r>
          </w:p>
        </w:tc>
        <w:tc>
          <w:tcPr>
            <w:tcW w:w="1713" w:type="dxa"/>
            <w:vAlign w:val="center"/>
          </w:tcPr>
          <w:p w:rsidR="00AE4D26" w:rsidRDefault="003F5D13">
            <w:pPr>
              <w:snapToGrid w:val="0"/>
              <w:spacing w:line="440" w:lineRule="exact"/>
              <w:jc w:val="center"/>
              <w:rPr>
                <w:rFonts w:ascii="宋体" w:eastAsia="宋体" w:hAnsi="宋体" w:cs="宋体"/>
              </w:rPr>
            </w:pPr>
            <w:r>
              <w:rPr>
                <w:rFonts w:ascii="宋体" w:eastAsia="宋体" w:hAnsi="宋体" w:hint="eastAsia"/>
              </w:rPr>
              <w:t>砷的迁移量</w:t>
            </w:r>
          </w:p>
        </w:tc>
        <w:tc>
          <w:tcPr>
            <w:tcW w:w="2475" w:type="dxa"/>
            <w:vAlign w:val="center"/>
          </w:tcPr>
          <w:p w:rsidR="00AE4D26" w:rsidRDefault="003F5D13">
            <w:pPr>
              <w:adjustRightInd w:val="0"/>
              <w:snapToGrid w:val="0"/>
              <w:jc w:val="center"/>
              <w:rPr>
                <w:rFonts w:ascii="宋体" w:eastAsia="宋体" w:hAnsi="宋体" w:cs="宋体"/>
              </w:rPr>
            </w:pPr>
            <w:r>
              <w:rPr>
                <w:rFonts w:ascii="宋体" w:eastAsia="宋体" w:hAnsi="宋体" w:cs="宋体" w:hint="eastAsia"/>
              </w:rPr>
              <w:t>GB 4806.9-2016  4.3</w:t>
            </w:r>
          </w:p>
        </w:tc>
        <w:tc>
          <w:tcPr>
            <w:tcW w:w="3825" w:type="dxa"/>
            <w:vAlign w:val="center"/>
          </w:tcPr>
          <w:p w:rsidR="00AE4D26" w:rsidRDefault="003F5D13">
            <w:pPr>
              <w:adjustRightInd w:val="0"/>
              <w:snapToGrid w:val="0"/>
              <w:spacing w:line="360" w:lineRule="auto"/>
              <w:jc w:val="left"/>
              <w:rPr>
                <w:rFonts w:ascii="宋体" w:eastAsia="宋体" w:hAnsi="宋体" w:cs="宋体"/>
              </w:rPr>
            </w:pPr>
            <w:r>
              <w:rPr>
                <w:rFonts w:ascii="宋体" w:eastAsia="宋体" w:hAnsi="宋体" w:cs="宋体" w:hint="eastAsia"/>
              </w:rPr>
              <w:t>GB 4806.9-2016</w:t>
            </w:r>
          </w:p>
          <w:p w:rsidR="00AE4D26" w:rsidRDefault="003F5D13">
            <w:pPr>
              <w:adjustRightInd w:val="0"/>
              <w:snapToGrid w:val="0"/>
              <w:spacing w:line="360" w:lineRule="auto"/>
              <w:jc w:val="left"/>
              <w:rPr>
                <w:rFonts w:ascii="宋体" w:eastAsia="宋体" w:hAnsi="宋体" w:cs="宋体"/>
              </w:rPr>
            </w:pPr>
            <w:r>
              <w:rPr>
                <w:rFonts w:ascii="宋体" w:eastAsia="宋体" w:hAnsi="宋体" w:cs="宋体" w:hint="eastAsia"/>
              </w:rPr>
              <w:t xml:space="preserve">GB 31604.49-2016 </w:t>
            </w:r>
            <w:r>
              <w:rPr>
                <w:rFonts w:ascii="宋体" w:eastAsia="宋体" w:hAnsi="宋体" w:cs="宋体" w:hint="eastAsia"/>
              </w:rPr>
              <w:t>第二部分</w:t>
            </w:r>
            <w:r>
              <w:rPr>
                <w:rFonts w:ascii="宋体" w:eastAsia="宋体" w:hAnsi="宋体" w:cs="宋体" w:hint="eastAsia"/>
              </w:rPr>
              <w:t xml:space="preserve"> </w:t>
            </w:r>
            <w:r>
              <w:rPr>
                <w:rFonts w:ascii="宋体" w:eastAsia="宋体" w:hAnsi="宋体" w:cs="宋体" w:hint="eastAsia"/>
              </w:rPr>
              <w:t>第二法</w:t>
            </w:r>
            <w:r>
              <w:rPr>
                <w:rFonts w:ascii="宋体" w:eastAsia="宋体" w:hAnsi="宋体" w:cs="宋体" w:hint="eastAsia"/>
              </w:rPr>
              <w:t>或</w:t>
            </w:r>
          </w:p>
          <w:p w:rsidR="00AE4D26" w:rsidRDefault="003F5D13">
            <w:pPr>
              <w:adjustRightInd w:val="0"/>
              <w:snapToGrid w:val="0"/>
              <w:spacing w:line="360" w:lineRule="auto"/>
              <w:jc w:val="left"/>
              <w:rPr>
                <w:rFonts w:ascii="宋体" w:eastAsia="宋体" w:hAnsi="宋体" w:cs="宋体"/>
              </w:rPr>
            </w:pPr>
            <w:r>
              <w:rPr>
                <w:rFonts w:ascii="宋体" w:eastAsia="宋体" w:hAnsi="宋体" w:cs="宋体" w:hint="eastAsia"/>
              </w:rPr>
              <w:t xml:space="preserve">GB 31604.38-2016 </w:t>
            </w:r>
            <w:r>
              <w:rPr>
                <w:rFonts w:ascii="宋体" w:eastAsia="宋体" w:hAnsi="宋体" w:cs="宋体" w:hint="eastAsia"/>
              </w:rPr>
              <w:t>第二部分</w:t>
            </w:r>
            <w:r>
              <w:rPr>
                <w:rFonts w:ascii="宋体" w:eastAsia="宋体" w:hAnsi="宋体" w:cs="宋体" w:hint="eastAsia"/>
              </w:rPr>
              <w:t xml:space="preserve"> </w:t>
            </w:r>
            <w:r>
              <w:rPr>
                <w:rFonts w:ascii="宋体" w:eastAsia="宋体" w:hAnsi="宋体" w:cs="宋体" w:hint="eastAsia"/>
              </w:rPr>
              <w:t>第一法、第三法</w:t>
            </w:r>
          </w:p>
          <w:p w:rsidR="00AE4D26" w:rsidRDefault="00AE4D26">
            <w:pPr>
              <w:adjustRightInd w:val="0"/>
              <w:snapToGrid w:val="0"/>
              <w:spacing w:line="360" w:lineRule="auto"/>
              <w:jc w:val="left"/>
              <w:rPr>
                <w:rFonts w:ascii="宋体" w:eastAsia="宋体" w:hAnsi="宋体" w:cs="宋体"/>
              </w:rPr>
            </w:pPr>
          </w:p>
        </w:tc>
      </w:tr>
      <w:tr w:rsidR="00AE4D26">
        <w:trPr>
          <w:trHeight w:hRule="exact" w:val="1259"/>
          <w:jc w:val="center"/>
        </w:trPr>
        <w:tc>
          <w:tcPr>
            <w:tcW w:w="867" w:type="dxa"/>
            <w:vAlign w:val="center"/>
          </w:tcPr>
          <w:p w:rsidR="00AE4D26" w:rsidRDefault="003F5D13">
            <w:pPr>
              <w:adjustRightInd w:val="0"/>
              <w:snapToGrid w:val="0"/>
              <w:jc w:val="center"/>
              <w:rPr>
                <w:rFonts w:ascii="宋体" w:eastAsia="宋体" w:hAnsi="宋体" w:cs="宋体"/>
              </w:rPr>
            </w:pPr>
            <w:r>
              <w:rPr>
                <w:rFonts w:ascii="宋体" w:eastAsia="宋体" w:hAnsi="宋体" w:cs="宋体" w:hint="eastAsia"/>
              </w:rPr>
              <w:t>4</w:t>
            </w:r>
          </w:p>
        </w:tc>
        <w:tc>
          <w:tcPr>
            <w:tcW w:w="1713" w:type="dxa"/>
            <w:vAlign w:val="center"/>
          </w:tcPr>
          <w:p w:rsidR="00AE4D26" w:rsidRDefault="003F5D13">
            <w:pPr>
              <w:snapToGrid w:val="0"/>
              <w:spacing w:line="440" w:lineRule="exact"/>
              <w:jc w:val="center"/>
              <w:rPr>
                <w:rFonts w:ascii="宋体" w:eastAsia="宋体" w:hAnsi="宋体" w:cs="宋体"/>
              </w:rPr>
            </w:pPr>
            <w:r>
              <w:rPr>
                <w:rFonts w:ascii="宋体" w:eastAsia="宋体" w:hAnsi="宋体" w:hint="eastAsia"/>
              </w:rPr>
              <w:t>镉的迁移量</w:t>
            </w:r>
          </w:p>
        </w:tc>
        <w:tc>
          <w:tcPr>
            <w:tcW w:w="2475" w:type="dxa"/>
            <w:vAlign w:val="center"/>
          </w:tcPr>
          <w:p w:rsidR="00AE4D26" w:rsidRDefault="003F5D13">
            <w:pPr>
              <w:adjustRightInd w:val="0"/>
              <w:snapToGrid w:val="0"/>
              <w:jc w:val="center"/>
              <w:rPr>
                <w:rFonts w:ascii="宋体" w:eastAsia="宋体" w:hAnsi="宋体" w:cs="宋体"/>
              </w:rPr>
            </w:pPr>
            <w:r>
              <w:rPr>
                <w:rFonts w:ascii="宋体" w:eastAsia="宋体" w:hAnsi="宋体" w:cs="宋体" w:hint="eastAsia"/>
              </w:rPr>
              <w:t>GB 4806.9-2016  4.3</w:t>
            </w:r>
          </w:p>
        </w:tc>
        <w:tc>
          <w:tcPr>
            <w:tcW w:w="3825" w:type="dxa"/>
            <w:vAlign w:val="center"/>
          </w:tcPr>
          <w:p w:rsidR="00AE4D26" w:rsidRDefault="003F5D13">
            <w:pPr>
              <w:adjustRightInd w:val="0"/>
              <w:snapToGrid w:val="0"/>
              <w:spacing w:line="360" w:lineRule="auto"/>
              <w:jc w:val="left"/>
              <w:rPr>
                <w:rFonts w:ascii="宋体" w:eastAsia="宋体" w:hAnsi="宋体" w:cs="宋体"/>
              </w:rPr>
            </w:pPr>
            <w:r>
              <w:rPr>
                <w:rFonts w:ascii="宋体" w:eastAsia="宋体" w:hAnsi="宋体" w:cs="宋体" w:hint="eastAsia"/>
              </w:rPr>
              <w:t>GB 4806.9-2016</w:t>
            </w:r>
          </w:p>
          <w:p w:rsidR="00AE4D26" w:rsidRDefault="003F5D13">
            <w:pPr>
              <w:adjustRightInd w:val="0"/>
              <w:snapToGrid w:val="0"/>
              <w:spacing w:line="360" w:lineRule="auto"/>
              <w:jc w:val="left"/>
              <w:rPr>
                <w:rFonts w:ascii="宋体" w:eastAsia="宋体" w:hAnsi="宋体" w:cs="宋体"/>
              </w:rPr>
            </w:pPr>
            <w:r>
              <w:rPr>
                <w:rFonts w:ascii="宋体" w:eastAsia="宋体" w:hAnsi="宋体" w:cs="宋体" w:hint="eastAsia"/>
              </w:rPr>
              <w:t>GB 31604.49-2016</w:t>
            </w:r>
            <w:r>
              <w:rPr>
                <w:rFonts w:ascii="宋体" w:eastAsia="宋体" w:hAnsi="宋体" w:cs="宋体" w:hint="eastAsia"/>
              </w:rPr>
              <w:t>第二部分第二法</w:t>
            </w:r>
            <w:r>
              <w:rPr>
                <w:rFonts w:ascii="宋体" w:eastAsia="宋体" w:hAnsi="宋体" w:cs="宋体" w:hint="eastAsia"/>
              </w:rPr>
              <w:t>或</w:t>
            </w:r>
          </w:p>
          <w:p w:rsidR="00AE4D26" w:rsidRDefault="003F5D13">
            <w:pPr>
              <w:adjustRightInd w:val="0"/>
              <w:snapToGrid w:val="0"/>
              <w:spacing w:line="360" w:lineRule="auto"/>
              <w:jc w:val="left"/>
              <w:rPr>
                <w:rFonts w:ascii="宋体" w:eastAsia="宋体" w:hAnsi="宋体" w:cs="宋体"/>
              </w:rPr>
            </w:pPr>
            <w:r>
              <w:rPr>
                <w:rFonts w:ascii="宋体" w:eastAsia="宋体" w:hAnsi="宋体" w:cs="宋体" w:hint="eastAsia"/>
              </w:rPr>
              <w:t>GB31604.24-2016</w:t>
            </w:r>
            <w:r>
              <w:rPr>
                <w:rFonts w:ascii="宋体" w:eastAsia="宋体" w:hAnsi="宋体" w:cs="宋体" w:hint="eastAsia"/>
              </w:rPr>
              <w:t>第三法、第四法</w:t>
            </w:r>
          </w:p>
        </w:tc>
      </w:tr>
      <w:tr w:rsidR="00AE4D26">
        <w:trPr>
          <w:trHeight w:hRule="exact" w:val="1312"/>
          <w:jc w:val="center"/>
        </w:trPr>
        <w:tc>
          <w:tcPr>
            <w:tcW w:w="867" w:type="dxa"/>
            <w:vAlign w:val="center"/>
          </w:tcPr>
          <w:p w:rsidR="00AE4D26" w:rsidRDefault="003F5D13">
            <w:pPr>
              <w:adjustRightInd w:val="0"/>
              <w:snapToGrid w:val="0"/>
              <w:jc w:val="center"/>
              <w:rPr>
                <w:rFonts w:ascii="宋体" w:eastAsia="宋体" w:hAnsi="宋体" w:cs="宋体"/>
              </w:rPr>
            </w:pPr>
            <w:r>
              <w:rPr>
                <w:rFonts w:ascii="宋体" w:eastAsia="宋体" w:hAnsi="宋体" w:cs="宋体" w:hint="eastAsia"/>
              </w:rPr>
              <w:t>5</w:t>
            </w:r>
          </w:p>
        </w:tc>
        <w:tc>
          <w:tcPr>
            <w:tcW w:w="1713" w:type="dxa"/>
            <w:vAlign w:val="center"/>
          </w:tcPr>
          <w:p w:rsidR="00AE4D26" w:rsidRDefault="003F5D13">
            <w:pPr>
              <w:snapToGrid w:val="0"/>
              <w:spacing w:line="440" w:lineRule="exact"/>
              <w:jc w:val="center"/>
              <w:rPr>
                <w:rFonts w:ascii="宋体" w:eastAsia="宋体" w:hAnsi="宋体" w:cs="宋体"/>
              </w:rPr>
            </w:pPr>
            <w:r>
              <w:rPr>
                <w:rFonts w:ascii="宋体" w:eastAsia="宋体" w:hAnsi="宋体" w:hint="eastAsia"/>
              </w:rPr>
              <w:t>镍的迁移量</w:t>
            </w:r>
          </w:p>
        </w:tc>
        <w:tc>
          <w:tcPr>
            <w:tcW w:w="2475" w:type="dxa"/>
            <w:vAlign w:val="center"/>
          </w:tcPr>
          <w:p w:rsidR="00AE4D26" w:rsidRDefault="003F5D13">
            <w:pPr>
              <w:adjustRightInd w:val="0"/>
              <w:snapToGrid w:val="0"/>
              <w:jc w:val="center"/>
              <w:rPr>
                <w:rFonts w:ascii="宋体" w:eastAsia="宋体" w:hAnsi="宋体" w:cs="宋体"/>
              </w:rPr>
            </w:pPr>
            <w:r>
              <w:rPr>
                <w:rFonts w:ascii="宋体" w:eastAsia="宋体" w:hAnsi="宋体" w:cs="宋体" w:hint="eastAsia"/>
              </w:rPr>
              <w:t>GB 4806.9-2016  4.3</w:t>
            </w:r>
          </w:p>
        </w:tc>
        <w:tc>
          <w:tcPr>
            <w:tcW w:w="3825" w:type="dxa"/>
            <w:vAlign w:val="center"/>
          </w:tcPr>
          <w:p w:rsidR="00AE4D26" w:rsidRDefault="003F5D13">
            <w:pPr>
              <w:adjustRightInd w:val="0"/>
              <w:snapToGrid w:val="0"/>
              <w:spacing w:line="360" w:lineRule="auto"/>
              <w:jc w:val="left"/>
              <w:rPr>
                <w:rFonts w:ascii="宋体" w:eastAsia="宋体" w:hAnsi="宋体" w:cs="宋体"/>
              </w:rPr>
            </w:pPr>
            <w:r>
              <w:rPr>
                <w:rFonts w:ascii="宋体" w:eastAsia="宋体" w:hAnsi="宋体" w:cs="宋体" w:hint="eastAsia"/>
              </w:rPr>
              <w:t xml:space="preserve">GB </w:t>
            </w:r>
            <w:r>
              <w:rPr>
                <w:rFonts w:ascii="宋体" w:eastAsia="宋体" w:hAnsi="宋体" w:cs="宋体" w:hint="eastAsia"/>
              </w:rPr>
              <w:t>4806.9-2016</w:t>
            </w:r>
          </w:p>
          <w:p w:rsidR="00AE4D26" w:rsidRDefault="003F5D13">
            <w:pPr>
              <w:adjustRightInd w:val="0"/>
              <w:snapToGrid w:val="0"/>
              <w:spacing w:line="360" w:lineRule="auto"/>
              <w:jc w:val="left"/>
              <w:rPr>
                <w:rFonts w:ascii="宋体" w:eastAsia="宋体" w:hAnsi="宋体" w:cs="宋体"/>
              </w:rPr>
            </w:pPr>
            <w:r>
              <w:rPr>
                <w:rFonts w:ascii="宋体" w:eastAsia="宋体" w:hAnsi="宋体" w:cs="宋体" w:hint="eastAsia"/>
              </w:rPr>
              <w:t>GB 31604.49-2016</w:t>
            </w:r>
            <w:r>
              <w:rPr>
                <w:rFonts w:ascii="宋体" w:eastAsia="宋体" w:hAnsi="宋体" w:cs="宋体" w:hint="eastAsia"/>
              </w:rPr>
              <w:t>第二部分</w:t>
            </w:r>
            <w:r>
              <w:rPr>
                <w:rFonts w:ascii="宋体" w:eastAsia="宋体" w:hAnsi="宋体" w:cs="宋体" w:hint="eastAsia"/>
              </w:rPr>
              <w:t xml:space="preserve"> </w:t>
            </w:r>
            <w:r>
              <w:rPr>
                <w:rFonts w:ascii="宋体" w:eastAsia="宋体" w:hAnsi="宋体" w:cs="宋体" w:hint="eastAsia"/>
              </w:rPr>
              <w:t>第二法</w:t>
            </w:r>
            <w:r>
              <w:rPr>
                <w:rFonts w:ascii="宋体" w:eastAsia="宋体" w:hAnsi="宋体" w:cs="宋体" w:hint="eastAsia"/>
              </w:rPr>
              <w:t>或</w:t>
            </w:r>
          </w:p>
          <w:p w:rsidR="00AE4D26" w:rsidRDefault="003F5D13">
            <w:pPr>
              <w:adjustRightInd w:val="0"/>
              <w:snapToGrid w:val="0"/>
              <w:spacing w:line="360" w:lineRule="auto"/>
              <w:jc w:val="left"/>
              <w:rPr>
                <w:rFonts w:ascii="宋体" w:eastAsia="宋体" w:hAnsi="宋体" w:cs="宋体"/>
              </w:rPr>
            </w:pPr>
            <w:r>
              <w:rPr>
                <w:rFonts w:ascii="宋体" w:eastAsia="宋体" w:hAnsi="宋体" w:cs="宋体" w:hint="eastAsia"/>
              </w:rPr>
              <w:t xml:space="preserve">GB 31604.33-2016 </w:t>
            </w:r>
            <w:r>
              <w:rPr>
                <w:rFonts w:ascii="宋体" w:eastAsia="宋体" w:hAnsi="宋体" w:cs="宋体" w:hint="eastAsia"/>
              </w:rPr>
              <w:t>第三法、第四法</w:t>
            </w:r>
          </w:p>
        </w:tc>
      </w:tr>
      <w:tr w:rsidR="00AE4D26">
        <w:trPr>
          <w:trHeight w:hRule="exact" w:val="1239"/>
          <w:jc w:val="center"/>
        </w:trPr>
        <w:tc>
          <w:tcPr>
            <w:tcW w:w="867" w:type="dxa"/>
            <w:vAlign w:val="center"/>
          </w:tcPr>
          <w:p w:rsidR="00AE4D26" w:rsidRDefault="003F5D13">
            <w:pPr>
              <w:adjustRightInd w:val="0"/>
              <w:snapToGrid w:val="0"/>
              <w:jc w:val="center"/>
              <w:rPr>
                <w:rFonts w:ascii="宋体" w:eastAsia="宋体" w:hAnsi="宋体" w:cs="宋体"/>
              </w:rPr>
            </w:pPr>
            <w:r>
              <w:rPr>
                <w:rFonts w:ascii="宋体" w:eastAsia="宋体" w:hAnsi="宋体" w:cs="宋体" w:hint="eastAsia"/>
              </w:rPr>
              <w:t>6</w:t>
            </w:r>
          </w:p>
        </w:tc>
        <w:tc>
          <w:tcPr>
            <w:tcW w:w="1713" w:type="dxa"/>
            <w:vAlign w:val="center"/>
          </w:tcPr>
          <w:p w:rsidR="00AE4D26" w:rsidRDefault="003F5D13">
            <w:pPr>
              <w:snapToGrid w:val="0"/>
              <w:spacing w:line="440" w:lineRule="exact"/>
              <w:jc w:val="center"/>
              <w:rPr>
                <w:rFonts w:ascii="宋体" w:eastAsia="宋体" w:hAnsi="宋体" w:cs="宋体"/>
              </w:rPr>
            </w:pPr>
            <w:r>
              <w:rPr>
                <w:rFonts w:ascii="宋体" w:eastAsia="宋体" w:hAnsi="宋体" w:hint="eastAsia"/>
              </w:rPr>
              <w:t>铬的迁移量</w:t>
            </w:r>
          </w:p>
        </w:tc>
        <w:tc>
          <w:tcPr>
            <w:tcW w:w="2475" w:type="dxa"/>
            <w:vAlign w:val="center"/>
          </w:tcPr>
          <w:p w:rsidR="00AE4D26" w:rsidRDefault="003F5D13">
            <w:pPr>
              <w:adjustRightInd w:val="0"/>
              <w:snapToGrid w:val="0"/>
              <w:jc w:val="center"/>
              <w:rPr>
                <w:rFonts w:ascii="宋体" w:eastAsia="宋体" w:hAnsi="宋体" w:cs="宋体"/>
              </w:rPr>
            </w:pPr>
            <w:r>
              <w:rPr>
                <w:rFonts w:ascii="宋体" w:eastAsia="宋体" w:hAnsi="宋体" w:cs="宋体" w:hint="eastAsia"/>
              </w:rPr>
              <w:t>GB 4806.9-2016  4.3</w:t>
            </w:r>
          </w:p>
        </w:tc>
        <w:tc>
          <w:tcPr>
            <w:tcW w:w="3825" w:type="dxa"/>
            <w:vAlign w:val="center"/>
          </w:tcPr>
          <w:p w:rsidR="00AE4D26" w:rsidRDefault="003F5D13">
            <w:pPr>
              <w:adjustRightInd w:val="0"/>
              <w:snapToGrid w:val="0"/>
              <w:spacing w:line="360" w:lineRule="auto"/>
              <w:jc w:val="left"/>
              <w:rPr>
                <w:rFonts w:ascii="宋体" w:eastAsia="宋体" w:hAnsi="宋体" w:cs="宋体"/>
              </w:rPr>
            </w:pPr>
            <w:r>
              <w:rPr>
                <w:rFonts w:ascii="宋体" w:eastAsia="宋体" w:hAnsi="宋体" w:cs="宋体" w:hint="eastAsia"/>
              </w:rPr>
              <w:t>GB 4806.9-2016</w:t>
            </w:r>
          </w:p>
          <w:p w:rsidR="00AE4D26" w:rsidRDefault="003F5D13">
            <w:pPr>
              <w:adjustRightInd w:val="0"/>
              <w:snapToGrid w:val="0"/>
              <w:spacing w:line="360" w:lineRule="auto"/>
              <w:jc w:val="left"/>
              <w:rPr>
                <w:rFonts w:ascii="宋体" w:eastAsia="宋体" w:hAnsi="宋体" w:cs="宋体"/>
              </w:rPr>
            </w:pPr>
            <w:r>
              <w:rPr>
                <w:rFonts w:ascii="宋体" w:eastAsia="宋体" w:hAnsi="宋体" w:cs="宋体" w:hint="eastAsia"/>
              </w:rPr>
              <w:t>GB 31604.49-2016</w:t>
            </w:r>
            <w:r>
              <w:rPr>
                <w:rFonts w:ascii="宋体" w:eastAsia="宋体" w:hAnsi="宋体" w:cs="宋体" w:hint="eastAsia"/>
              </w:rPr>
              <w:t>第二部分</w:t>
            </w:r>
            <w:r>
              <w:rPr>
                <w:rFonts w:ascii="宋体" w:eastAsia="宋体" w:hAnsi="宋体" w:cs="宋体" w:hint="eastAsia"/>
              </w:rPr>
              <w:t xml:space="preserve"> </w:t>
            </w:r>
            <w:r>
              <w:rPr>
                <w:rFonts w:ascii="宋体" w:eastAsia="宋体" w:hAnsi="宋体" w:cs="宋体" w:hint="eastAsia"/>
              </w:rPr>
              <w:t>第二法</w:t>
            </w:r>
            <w:r>
              <w:rPr>
                <w:rFonts w:ascii="宋体" w:eastAsia="宋体" w:hAnsi="宋体" w:cs="宋体" w:hint="eastAsia"/>
              </w:rPr>
              <w:t>或</w:t>
            </w:r>
          </w:p>
          <w:p w:rsidR="00AE4D26" w:rsidRDefault="003F5D13">
            <w:pPr>
              <w:adjustRightInd w:val="0"/>
              <w:snapToGrid w:val="0"/>
              <w:spacing w:line="360" w:lineRule="auto"/>
              <w:jc w:val="left"/>
              <w:rPr>
                <w:rFonts w:ascii="宋体" w:eastAsia="宋体" w:hAnsi="宋体" w:cs="宋体"/>
              </w:rPr>
            </w:pPr>
            <w:r>
              <w:rPr>
                <w:rFonts w:ascii="宋体" w:eastAsia="宋体" w:hAnsi="宋体" w:cs="宋体" w:hint="eastAsia"/>
              </w:rPr>
              <w:t xml:space="preserve">GB 31604.25-2016 </w:t>
            </w:r>
            <w:r>
              <w:rPr>
                <w:rFonts w:ascii="宋体" w:eastAsia="宋体" w:hAnsi="宋体" w:cs="宋体" w:hint="eastAsia"/>
              </w:rPr>
              <w:t>第三法、第四法</w:t>
            </w:r>
          </w:p>
          <w:p w:rsidR="00AE4D26" w:rsidRDefault="00AE4D26">
            <w:pPr>
              <w:adjustRightInd w:val="0"/>
              <w:snapToGrid w:val="0"/>
              <w:spacing w:line="360" w:lineRule="auto"/>
              <w:jc w:val="left"/>
              <w:rPr>
                <w:rFonts w:ascii="宋体" w:eastAsia="宋体" w:hAnsi="宋体" w:cs="宋体"/>
              </w:rPr>
            </w:pPr>
          </w:p>
        </w:tc>
      </w:tr>
      <w:tr w:rsidR="00AE4D26">
        <w:trPr>
          <w:trHeight w:hRule="exact" w:val="1239"/>
          <w:jc w:val="center"/>
        </w:trPr>
        <w:tc>
          <w:tcPr>
            <w:tcW w:w="867" w:type="dxa"/>
            <w:vAlign w:val="center"/>
          </w:tcPr>
          <w:p w:rsidR="00AE4D26" w:rsidRDefault="003F5D13">
            <w:pPr>
              <w:adjustRightInd w:val="0"/>
              <w:snapToGrid w:val="0"/>
              <w:jc w:val="center"/>
              <w:rPr>
                <w:rFonts w:ascii="宋体" w:eastAsia="宋体" w:hAnsi="宋体" w:cs="宋体"/>
              </w:rPr>
            </w:pPr>
            <w:r>
              <w:rPr>
                <w:rFonts w:ascii="宋体" w:eastAsia="宋体" w:hAnsi="宋体" w:cs="宋体" w:hint="eastAsia"/>
              </w:rPr>
              <w:t>7</w:t>
            </w:r>
          </w:p>
        </w:tc>
        <w:tc>
          <w:tcPr>
            <w:tcW w:w="1713" w:type="dxa"/>
            <w:vAlign w:val="center"/>
          </w:tcPr>
          <w:p w:rsidR="00AE4D26" w:rsidRDefault="003F5D13">
            <w:pPr>
              <w:snapToGrid w:val="0"/>
              <w:spacing w:line="440" w:lineRule="exact"/>
              <w:jc w:val="center"/>
              <w:rPr>
                <w:rFonts w:ascii="宋体" w:eastAsia="宋体" w:hAnsi="宋体"/>
              </w:rPr>
            </w:pPr>
            <w:r>
              <w:rPr>
                <w:rFonts w:ascii="宋体" w:eastAsia="宋体" w:hAnsi="宋体" w:hint="eastAsia"/>
              </w:rPr>
              <w:t>标签标识</w:t>
            </w:r>
          </w:p>
        </w:tc>
        <w:tc>
          <w:tcPr>
            <w:tcW w:w="2475" w:type="dxa"/>
            <w:vAlign w:val="center"/>
          </w:tcPr>
          <w:p w:rsidR="00AE4D26" w:rsidRDefault="003F5D13">
            <w:pPr>
              <w:adjustRightInd w:val="0"/>
              <w:snapToGrid w:val="0"/>
              <w:jc w:val="center"/>
              <w:rPr>
                <w:rFonts w:ascii="宋体" w:eastAsia="宋体" w:hAnsi="宋体" w:cs="宋体"/>
              </w:rPr>
            </w:pPr>
            <w:r>
              <w:rPr>
                <w:rFonts w:ascii="宋体" w:eastAsia="宋体" w:hAnsi="宋体" w:cs="宋体" w:hint="eastAsia"/>
              </w:rPr>
              <w:t xml:space="preserve">GB 4806.9-2016  </w:t>
            </w:r>
            <w:r>
              <w:rPr>
                <w:rFonts w:ascii="宋体" w:eastAsia="宋体" w:hAnsi="宋体" w:cs="宋体"/>
              </w:rPr>
              <w:t>5</w:t>
            </w:r>
            <w:r>
              <w:rPr>
                <w:rFonts w:ascii="宋体" w:eastAsia="宋体" w:hAnsi="宋体" w:cs="宋体" w:hint="eastAsia"/>
              </w:rPr>
              <w:t>.3</w:t>
            </w:r>
          </w:p>
        </w:tc>
        <w:tc>
          <w:tcPr>
            <w:tcW w:w="3825" w:type="dxa"/>
            <w:vAlign w:val="center"/>
          </w:tcPr>
          <w:p w:rsidR="00AE4D26" w:rsidRDefault="003F5D13">
            <w:pPr>
              <w:adjustRightInd w:val="0"/>
              <w:snapToGrid w:val="0"/>
              <w:spacing w:line="360" w:lineRule="auto"/>
              <w:jc w:val="left"/>
              <w:rPr>
                <w:rFonts w:ascii="宋体" w:eastAsia="宋体" w:hAnsi="宋体" w:cs="宋体"/>
              </w:rPr>
            </w:pPr>
            <w:r>
              <w:rPr>
                <w:rFonts w:ascii="宋体" w:eastAsia="宋体" w:hAnsi="宋体" w:cs="宋体" w:hint="eastAsia"/>
              </w:rPr>
              <w:t>GB 4806.9-2016</w:t>
            </w:r>
          </w:p>
          <w:p w:rsidR="00AE4D26" w:rsidRDefault="003F5D13">
            <w:pPr>
              <w:adjustRightInd w:val="0"/>
              <w:snapToGrid w:val="0"/>
              <w:spacing w:line="360" w:lineRule="auto"/>
              <w:jc w:val="left"/>
              <w:rPr>
                <w:rFonts w:ascii="宋体" w:eastAsia="宋体" w:hAnsi="宋体" w:cs="宋体"/>
              </w:rPr>
            </w:pPr>
            <w:r>
              <w:rPr>
                <w:rFonts w:ascii="宋体" w:eastAsia="宋体" w:hAnsi="宋体" w:cs="宋体" w:hint="eastAsia"/>
              </w:rPr>
              <w:t>GB 4806.</w:t>
            </w:r>
            <w:r>
              <w:rPr>
                <w:rFonts w:ascii="宋体" w:eastAsia="宋体" w:hAnsi="宋体" w:cs="宋体"/>
              </w:rPr>
              <w:t>1</w:t>
            </w:r>
            <w:r>
              <w:rPr>
                <w:rFonts w:ascii="宋体" w:eastAsia="宋体" w:hAnsi="宋体" w:cs="宋体" w:hint="eastAsia"/>
              </w:rPr>
              <w:t xml:space="preserve">-2016  </w:t>
            </w:r>
            <w:r>
              <w:rPr>
                <w:rFonts w:ascii="宋体" w:eastAsia="宋体" w:hAnsi="宋体" w:cs="宋体"/>
              </w:rPr>
              <w:t>8</w:t>
            </w:r>
          </w:p>
        </w:tc>
      </w:tr>
      <w:tr w:rsidR="00AE4D26">
        <w:trPr>
          <w:trHeight w:hRule="exact" w:val="1239"/>
          <w:jc w:val="center"/>
        </w:trPr>
        <w:tc>
          <w:tcPr>
            <w:tcW w:w="8880" w:type="dxa"/>
            <w:gridSpan w:val="4"/>
            <w:vAlign w:val="center"/>
          </w:tcPr>
          <w:p w:rsidR="00AE4D26" w:rsidRDefault="003F5D13">
            <w:pPr>
              <w:adjustRightInd w:val="0"/>
              <w:snapToGrid w:val="0"/>
              <w:spacing w:line="360" w:lineRule="auto"/>
              <w:jc w:val="left"/>
              <w:rPr>
                <w:rFonts w:ascii="仿宋" w:eastAsia="仿宋" w:hAnsi="仿宋" w:cs="仿宋"/>
                <w:sz w:val="24"/>
                <w:szCs w:val="24"/>
              </w:rPr>
            </w:pPr>
            <w:r>
              <w:rPr>
                <w:rFonts w:ascii="仿宋" w:eastAsia="仿宋" w:hAnsi="仿宋" w:cs="仿宋" w:hint="eastAsia"/>
                <w:sz w:val="24"/>
                <w:szCs w:val="24"/>
              </w:rPr>
              <w:t>注：</w:t>
            </w:r>
            <w:r>
              <w:rPr>
                <w:rFonts w:ascii="仿宋" w:eastAsia="仿宋" w:hAnsi="仿宋" w:cs="仿宋" w:hint="eastAsia"/>
                <w:sz w:val="24"/>
                <w:szCs w:val="24"/>
              </w:rPr>
              <w:t>1.</w:t>
            </w:r>
            <w:r>
              <w:rPr>
                <w:rFonts w:ascii="仿宋" w:eastAsia="仿宋" w:hAnsi="仿宋" w:cs="仿宋" w:hint="eastAsia"/>
                <w:sz w:val="24"/>
                <w:szCs w:val="24"/>
              </w:rPr>
              <w:t>不锈钢材质样品按照标识牌号做全部项目，</w:t>
            </w:r>
            <w:r>
              <w:rPr>
                <w:rFonts w:ascii="仿宋" w:eastAsia="仿宋" w:hAnsi="仿宋" w:cs="仿宋" w:hint="eastAsia"/>
                <w:sz w:val="24"/>
                <w:szCs w:val="24"/>
              </w:rPr>
              <w:t>无任何类型和牌号标注，则铬不进行试验、若标注马氏体型不锈钢则也不进行铬的试验。</w:t>
            </w:r>
          </w:p>
          <w:p w:rsidR="00AE4D26" w:rsidRDefault="003F5D13">
            <w:pPr>
              <w:pStyle w:val="2"/>
              <w:ind w:left="900" w:hanging="480"/>
              <w:rPr>
                <w:rFonts w:eastAsia="仿宋"/>
              </w:rPr>
            </w:pPr>
            <w:r>
              <w:rPr>
                <w:rFonts w:ascii="仿宋" w:eastAsia="仿宋" w:hAnsi="仿宋" w:cs="仿宋" w:hint="eastAsia"/>
                <w:sz w:val="24"/>
                <w:szCs w:val="24"/>
              </w:rPr>
              <w:t>2.</w:t>
            </w:r>
            <w:r>
              <w:rPr>
                <w:rFonts w:ascii="仿宋" w:eastAsia="仿宋" w:hAnsi="仿宋" w:cs="仿宋" w:hint="eastAsia"/>
                <w:sz w:val="24"/>
                <w:szCs w:val="24"/>
              </w:rPr>
              <w:t>其他金属材质不做</w:t>
            </w:r>
            <w:r>
              <w:rPr>
                <w:rFonts w:ascii="仿宋" w:eastAsia="仿宋" w:hAnsi="仿宋" w:cs="仿宋" w:hint="eastAsia"/>
                <w:sz w:val="24"/>
                <w:szCs w:val="24"/>
              </w:rPr>
              <w:t>5</w:t>
            </w:r>
            <w:r>
              <w:rPr>
                <w:rFonts w:ascii="仿宋" w:eastAsia="仿宋" w:hAnsi="仿宋" w:cs="仿宋" w:hint="eastAsia"/>
                <w:sz w:val="24"/>
                <w:szCs w:val="24"/>
              </w:rPr>
              <w:t>、</w:t>
            </w:r>
            <w:r>
              <w:rPr>
                <w:rFonts w:ascii="仿宋" w:eastAsia="仿宋" w:hAnsi="仿宋" w:cs="仿宋" w:hint="eastAsia"/>
                <w:sz w:val="24"/>
                <w:szCs w:val="24"/>
              </w:rPr>
              <w:t>6</w:t>
            </w:r>
            <w:r>
              <w:rPr>
                <w:rFonts w:ascii="仿宋" w:eastAsia="仿宋" w:hAnsi="仿宋" w:cs="仿宋" w:hint="eastAsia"/>
                <w:sz w:val="24"/>
                <w:szCs w:val="24"/>
              </w:rPr>
              <w:t>项检测。</w:t>
            </w:r>
          </w:p>
        </w:tc>
      </w:tr>
    </w:tbl>
    <w:p w:rsidR="00AE4D26" w:rsidRDefault="003F5D13">
      <w:pPr>
        <w:widowControl/>
        <w:spacing w:line="240" w:lineRule="atLeast"/>
        <w:jc w:val="left"/>
        <w:rPr>
          <w:rFonts w:ascii="仿宋_GB2312" w:hAnsi="仿宋_GB2312" w:cs="仿宋_GB2312"/>
        </w:rPr>
      </w:pPr>
      <w:r>
        <w:rPr>
          <w:rFonts w:ascii="仿宋_GB2312" w:hAnsi="仿宋_GB2312" w:cs="仿宋_GB2312" w:hint="eastAsia"/>
        </w:rPr>
        <w:t>注：检验方法包括相关产品标准及试验方法标准。执行企业标准时，按照企业标准规定指标并结合国家、行业标准进行比较。</w:t>
      </w:r>
    </w:p>
    <w:p w:rsidR="00AE4D26" w:rsidRDefault="003F5D13">
      <w:pPr>
        <w:pStyle w:val="a3"/>
        <w:spacing w:line="240" w:lineRule="atLeast"/>
        <w:rPr>
          <w:rFonts w:ascii="仿宋_GB2312" w:hAnsi="仿宋_GB2312" w:cs="仿宋_GB2312"/>
          <w:sz w:val="28"/>
          <w:szCs w:val="28"/>
        </w:rPr>
      </w:pPr>
      <w:r>
        <w:rPr>
          <w:rFonts w:ascii="仿宋_GB2312" w:hAnsi="仿宋_GB2312" w:cs="仿宋_GB2312" w:hint="eastAsia"/>
        </w:rPr>
        <w:t>凡是注日期的文件，其随后所有的修改单（不包括勘误的内容）或修订版不适用于本细则。凡是不注日期的文件，其最新版本适用于本细则。</w:t>
      </w:r>
    </w:p>
    <w:p w:rsidR="00AE4D26" w:rsidRDefault="003F5D1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6.2</w:t>
      </w:r>
      <w:r>
        <w:rPr>
          <w:rFonts w:ascii="仿宋_GB2312" w:hAnsi="仿宋_GB2312" w:cs="仿宋_GB2312" w:hint="eastAsia"/>
          <w:sz w:val="28"/>
          <w:szCs w:val="28"/>
        </w:rPr>
        <w:t>检验应注意的问题</w:t>
      </w:r>
    </w:p>
    <w:p w:rsidR="00AE4D26" w:rsidRDefault="003F5D1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若被检产品明示的质量要求高于本细则中检验项目依据的标准要求时，应按被检产品明示的质量要求判定。</w:t>
      </w:r>
    </w:p>
    <w:p w:rsidR="00AE4D26" w:rsidRDefault="003F5D1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若被检产品明示的质量要求低于本细则中检验项目依据的强制性标准要求时，应按照强制性标准要求判定。</w:t>
      </w:r>
    </w:p>
    <w:p w:rsidR="00AE4D26" w:rsidRDefault="003F5D1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lastRenderedPageBreak/>
        <w:t>若被检产品明示的质量要求低于或包含本细则中检验项目依据的推荐性标准要求时，应以被检产品明示的质量要求判定。</w:t>
      </w:r>
    </w:p>
    <w:p w:rsidR="00AE4D26" w:rsidRDefault="003F5D1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若被检产品明示的质量要求缺少本细则中检验项目依据的强制性标准要求时，应按照强制性标准要求判定。</w:t>
      </w:r>
    </w:p>
    <w:p w:rsidR="00AE4D26" w:rsidRDefault="003F5D1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若被检产品明示的质量要求缺少本细则中检验项目依据的推荐性标准要求时，该项目不参与判定，但应在检验报告备注中进行说明。</w:t>
      </w:r>
    </w:p>
    <w:p w:rsidR="00AE4D26" w:rsidRDefault="003F5D13">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7</w:t>
      </w:r>
      <w:r>
        <w:rPr>
          <w:rFonts w:ascii="仿宋_GB2312" w:hAnsi="仿宋_GB2312" w:cs="仿宋_GB2312" w:hint="eastAsia"/>
          <w:b/>
          <w:bCs/>
          <w:sz w:val="28"/>
          <w:szCs w:val="28"/>
        </w:rPr>
        <w:t>判定原则</w:t>
      </w:r>
    </w:p>
    <w:p w:rsidR="00AE4D26" w:rsidRDefault="003F5D1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经检验，检验项目全部合格，判定为被抽查产品所检项目未发现不合格；检验项目中任一项或</w:t>
      </w:r>
      <w:r>
        <w:rPr>
          <w:rFonts w:ascii="仿宋_GB2312" w:hAnsi="仿宋_GB2312" w:cs="仿宋_GB2312" w:hint="eastAsia"/>
          <w:sz w:val="28"/>
          <w:szCs w:val="28"/>
        </w:rPr>
        <w:t>一项以上不合格，判定为被抽查产品不合格。</w:t>
      </w:r>
    </w:p>
    <w:p w:rsidR="00AE4D26" w:rsidRDefault="003F5D13">
      <w:pPr>
        <w:adjustRightInd w:val="0"/>
        <w:snapToGrid w:val="0"/>
        <w:spacing w:line="360" w:lineRule="auto"/>
        <w:ind w:firstLineChars="196" w:firstLine="551"/>
        <w:rPr>
          <w:rFonts w:ascii="仿宋_GB2312" w:hAnsi="仿宋_GB2312" w:cs="仿宋_GB2312"/>
          <w:sz w:val="28"/>
          <w:szCs w:val="28"/>
        </w:rPr>
      </w:pPr>
      <w:r>
        <w:rPr>
          <w:rFonts w:ascii="仿宋_GB2312" w:hAnsi="仿宋_GB2312" w:cs="仿宋_GB2312" w:hint="eastAsia"/>
          <w:b/>
          <w:bCs/>
          <w:sz w:val="28"/>
          <w:szCs w:val="28"/>
        </w:rPr>
        <w:t>8</w:t>
      </w:r>
      <w:r>
        <w:rPr>
          <w:rFonts w:ascii="仿宋_GB2312" w:hAnsi="仿宋_GB2312" w:cs="仿宋_GB2312" w:hint="eastAsia"/>
          <w:b/>
          <w:bCs/>
          <w:sz w:val="28"/>
          <w:szCs w:val="28"/>
        </w:rPr>
        <w:t>异议处理</w:t>
      </w:r>
    </w:p>
    <w:p w:rsidR="00AE4D26" w:rsidRDefault="003F5D13">
      <w:pPr>
        <w:adjustRightInd w:val="0"/>
        <w:snapToGrid w:val="0"/>
        <w:spacing w:line="360" w:lineRule="auto"/>
        <w:ind w:firstLineChars="196" w:firstLine="549"/>
        <w:rPr>
          <w:rFonts w:ascii="仿宋_GB2312" w:hAnsi="仿宋_GB2312" w:cs="仿宋_GB2312"/>
          <w:sz w:val="28"/>
          <w:szCs w:val="28"/>
        </w:rPr>
      </w:pPr>
      <w:r>
        <w:rPr>
          <w:rFonts w:ascii="仿宋_GB2312" w:hAnsi="仿宋" w:cs="仿宋" w:hint="eastAsia"/>
          <w:sz w:val="28"/>
          <w:szCs w:val="28"/>
        </w:rPr>
        <w:t>对被判定为不合格企业进行异议处理时，按以下方式进行：</w:t>
      </w:r>
    </w:p>
    <w:p w:rsidR="00AE4D26" w:rsidRDefault="003F5D1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8.1</w:t>
      </w:r>
      <w:r>
        <w:rPr>
          <w:rFonts w:ascii="仿宋_GB2312" w:hAnsi="仿宋_GB2312" w:cs="仿宋_GB2312" w:hint="eastAsia"/>
          <w:sz w:val="28"/>
          <w:szCs w:val="28"/>
        </w:rPr>
        <w:t>核查不合格项目相关证据，能够以记录（纸质记录或电子记录或影像记录）或与不合格项目相关联的其它质量数据等检验证据证明。</w:t>
      </w:r>
    </w:p>
    <w:p w:rsidR="00AE4D26" w:rsidRDefault="003F5D1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8.2</w:t>
      </w:r>
      <w:r>
        <w:rPr>
          <w:rFonts w:ascii="仿宋_GB2312" w:hAnsi="仿宋_GB2312" w:cs="仿宋_GB2312" w:hint="eastAsia"/>
          <w:sz w:val="28"/>
          <w:szCs w:val="28"/>
        </w:rPr>
        <w:t>对需要复检并具备检验条件的，处理企业异议的市场监督管理部门或者指定检验机构应当按原监督抽查细则对留存的样品或抽取的备用样品组织复检，复检项目如有仲裁法需用仲裁法进行复检，并出具检验报告。复检结论为最终结论。</w:t>
      </w:r>
    </w:p>
    <w:p w:rsidR="00AE4D26" w:rsidRDefault="00AE4D26">
      <w:pPr>
        <w:adjustRightInd w:val="0"/>
        <w:snapToGrid w:val="0"/>
        <w:spacing w:line="360" w:lineRule="auto"/>
        <w:ind w:firstLineChars="196" w:firstLine="549"/>
        <w:rPr>
          <w:rFonts w:ascii="仿宋_GB2312" w:hAnsi="仿宋_GB2312" w:cs="仿宋_GB2312"/>
          <w:sz w:val="28"/>
          <w:szCs w:val="28"/>
        </w:rPr>
      </w:pPr>
    </w:p>
    <w:sectPr w:rsidR="00AE4D2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5D13" w:rsidRDefault="003F5D13" w:rsidP="00715E65">
      <w:r>
        <w:separator/>
      </w:r>
    </w:p>
  </w:endnote>
  <w:endnote w:type="continuationSeparator" w:id="0">
    <w:p w:rsidR="003F5D13" w:rsidRDefault="003F5D13" w:rsidP="00715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
    <w:altName w:val="Segoe Print"/>
    <w:charset w:val="00"/>
    <w:family w:val="auto"/>
    <w:pitch w:val="default"/>
    <w:sig w:usb0="00000000"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5D13" w:rsidRDefault="003F5D13" w:rsidP="00715E65">
      <w:r>
        <w:separator/>
      </w:r>
    </w:p>
  </w:footnote>
  <w:footnote w:type="continuationSeparator" w:id="0">
    <w:p w:rsidR="003F5D13" w:rsidRDefault="003F5D13" w:rsidP="00715E6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RhOTA2YWY3NTA0YzVkYjFhOTViMzEyMWJkZWE3NGYifQ=="/>
  </w:docVars>
  <w:rsids>
    <w:rsidRoot w:val="002626C2"/>
    <w:rsid w:val="AECE5562"/>
    <w:rsid w:val="B72B4B0A"/>
    <w:rsid w:val="FFDFAB23"/>
    <w:rsid w:val="00040088"/>
    <w:rsid w:val="0009451C"/>
    <w:rsid w:val="00094B9B"/>
    <w:rsid w:val="000A358E"/>
    <w:rsid w:val="000B2A32"/>
    <w:rsid w:val="000B552B"/>
    <w:rsid w:val="00104390"/>
    <w:rsid w:val="001055A8"/>
    <w:rsid w:val="00105BE4"/>
    <w:rsid w:val="00191A0B"/>
    <w:rsid w:val="001B5979"/>
    <w:rsid w:val="00210010"/>
    <w:rsid w:val="0025286B"/>
    <w:rsid w:val="002615E4"/>
    <w:rsid w:val="002626C2"/>
    <w:rsid w:val="0026442F"/>
    <w:rsid w:val="002A1AB9"/>
    <w:rsid w:val="002D0964"/>
    <w:rsid w:val="002D5194"/>
    <w:rsid w:val="002D7552"/>
    <w:rsid w:val="002F773D"/>
    <w:rsid w:val="00361FA1"/>
    <w:rsid w:val="0036614F"/>
    <w:rsid w:val="003F5D13"/>
    <w:rsid w:val="00407C19"/>
    <w:rsid w:val="00437EF0"/>
    <w:rsid w:val="00444BCE"/>
    <w:rsid w:val="0045134F"/>
    <w:rsid w:val="004605CF"/>
    <w:rsid w:val="004715A4"/>
    <w:rsid w:val="00492A90"/>
    <w:rsid w:val="00494E5B"/>
    <w:rsid w:val="004F3E30"/>
    <w:rsid w:val="00506993"/>
    <w:rsid w:val="00587804"/>
    <w:rsid w:val="005C32CF"/>
    <w:rsid w:val="005D2B48"/>
    <w:rsid w:val="006B368C"/>
    <w:rsid w:val="00711453"/>
    <w:rsid w:val="00715E65"/>
    <w:rsid w:val="00801504"/>
    <w:rsid w:val="0081763C"/>
    <w:rsid w:val="00880F53"/>
    <w:rsid w:val="00944BDE"/>
    <w:rsid w:val="009921F2"/>
    <w:rsid w:val="009A5BF4"/>
    <w:rsid w:val="00A51F80"/>
    <w:rsid w:val="00A63B7A"/>
    <w:rsid w:val="00A77EFF"/>
    <w:rsid w:val="00A91D33"/>
    <w:rsid w:val="00AE4D26"/>
    <w:rsid w:val="00B14A59"/>
    <w:rsid w:val="00B559F2"/>
    <w:rsid w:val="00C457F6"/>
    <w:rsid w:val="00C73360"/>
    <w:rsid w:val="00C957EE"/>
    <w:rsid w:val="00CA58EE"/>
    <w:rsid w:val="00D42E2C"/>
    <w:rsid w:val="00D649CA"/>
    <w:rsid w:val="00DA68AA"/>
    <w:rsid w:val="00DB2556"/>
    <w:rsid w:val="00DE7075"/>
    <w:rsid w:val="00DF0B2C"/>
    <w:rsid w:val="00E26DAA"/>
    <w:rsid w:val="00E33C00"/>
    <w:rsid w:val="00E352FB"/>
    <w:rsid w:val="00E45162"/>
    <w:rsid w:val="00E509C9"/>
    <w:rsid w:val="00EA00A7"/>
    <w:rsid w:val="00F1475D"/>
    <w:rsid w:val="00F73C87"/>
    <w:rsid w:val="00F90030"/>
    <w:rsid w:val="00FF45C2"/>
    <w:rsid w:val="074A741F"/>
    <w:rsid w:val="0CA02ADC"/>
    <w:rsid w:val="0F426ED3"/>
    <w:rsid w:val="102E2D65"/>
    <w:rsid w:val="13F77A88"/>
    <w:rsid w:val="14380C21"/>
    <w:rsid w:val="1BA90C92"/>
    <w:rsid w:val="1E1623CE"/>
    <w:rsid w:val="1E6276B9"/>
    <w:rsid w:val="20076C95"/>
    <w:rsid w:val="222437EA"/>
    <w:rsid w:val="225E3148"/>
    <w:rsid w:val="268D54B4"/>
    <w:rsid w:val="26F176CF"/>
    <w:rsid w:val="27107DC0"/>
    <w:rsid w:val="2C6B759B"/>
    <w:rsid w:val="301E038D"/>
    <w:rsid w:val="341D5FA7"/>
    <w:rsid w:val="3B1E4662"/>
    <w:rsid w:val="3BB63024"/>
    <w:rsid w:val="3CBE1C6F"/>
    <w:rsid w:val="3CD6488B"/>
    <w:rsid w:val="3D063149"/>
    <w:rsid w:val="3EA6364C"/>
    <w:rsid w:val="43721740"/>
    <w:rsid w:val="43B455BB"/>
    <w:rsid w:val="448418DB"/>
    <w:rsid w:val="456312D4"/>
    <w:rsid w:val="46BF2DC5"/>
    <w:rsid w:val="482B0DF3"/>
    <w:rsid w:val="498D7285"/>
    <w:rsid w:val="49D92303"/>
    <w:rsid w:val="4C141C22"/>
    <w:rsid w:val="4D752558"/>
    <w:rsid w:val="4F35250E"/>
    <w:rsid w:val="4FB6A14F"/>
    <w:rsid w:val="54F41CC8"/>
    <w:rsid w:val="57B32CC6"/>
    <w:rsid w:val="58EE0180"/>
    <w:rsid w:val="5D3531A6"/>
    <w:rsid w:val="69C45FA2"/>
    <w:rsid w:val="6BEA0FB4"/>
    <w:rsid w:val="6DCC63C6"/>
    <w:rsid w:val="6F4D273F"/>
    <w:rsid w:val="6F9A6976"/>
    <w:rsid w:val="702A6140"/>
    <w:rsid w:val="72A44CD7"/>
    <w:rsid w:val="76B401D5"/>
    <w:rsid w:val="7FA517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3E962FE"/>
  <w15:docId w15:val="{3BA7FA96-34F5-402E-941B-BE96E8300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qFormat="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eastAsia="仿宋_GB2312"/>
      <w:kern w:val="2"/>
      <w:sz w:val="21"/>
      <w:szCs w:val="21"/>
    </w:rPr>
  </w:style>
  <w:style w:type="paragraph" w:styleId="1">
    <w:name w:val="heading 1"/>
    <w:basedOn w:val="a"/>
    <w:next w:val="a"/>
    <w:qFormat/>
    <w:locked/>
    <w:pPr>
      <w:spacing w:beforeAutospacing="1" w:afterAutospacing="1"/>
      <w:jc w:val="left"/>
      <w:outlineLvl w:val="0"/>
    </w:pPr>
    <w:rPr>
      <w:rFonts w:ascii="宋体" w:eastAsia="宋体" w:hAnsi="宋体" w:hint="eastAsia"/>
      <w:b/>
      <w:bCs/>
      <w:kern w:val="44"/>
      <w:sz w:val="48"/>
      <w:szCs w:val="48"/>
    </w:rPr>
  </w:style>
  <w:style w:type="paragraph" w:styleId="3">
    <w:name w:val="heading 3"/>
    <w:basedOn w:val="a"/>
    <w:next w:val="a"/>
    <w:link w:val="30"/>
    <w:uiPriority w:val="99"/>
    <w:qFormat/>
    <w:pPr>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uiPriority w:val="99"/>
    <w:qFormat/>
    <w:pPr>
      <w:ind w:leftChars="200" w:left="100" w:hangingChars="200" w:hanging="200"/>
    </w:pPr>
    <w:rPr>
      <w:rFonts w:eastAsia="宋体"/>
    </w:rPr>
  </w:style>
  <w:style w:type="paragraph" w:styleId="a3">
    <w:name w:val="Normal Indent"/>
    <w:basedOn w:val="a"/>
    <w:next w:val="a"/>
    <w:uiPriority w:val="99"/>
    <w:qFormat/>
    <w:pPr>
      <w:ind w:firstLineChars="200" w:firstLine="420"/>
    </w:pPr>
  </w:style>
  <w:style w:type="paragraph" w:styleId="a4">
    <w:name w:val="footer"/>
    <w:basedOn w:val="a"/>
    <w:link w:val="a5"/>
    <w:uiPriority w:val="99"/>
    <w:qFormat/>
    <w:pPr>
      <w:tabs>
        <w:tab w:val="center" w:pos="4153"/>
        <w:tab w:val="right" w:pos="8306"/>
      </w:tabs>
      <w:snapToGrid w:val="0"/>
      <w:jc w:val="left"/>
    </w:pPr>
    <w:rPr>
      <w:rFonts w:ascii="??" w:eastAsia="宋体" w:hAnsi="??" w:cs="??"/>
      <w:sz w:val="18"/>
      <w:szCs w:val="18"/>
    </w:rPr>
  </w:style>
  <w:style w:type="paragraph" w:styleId="a6">
    <w:name w:val="header"/>
    <w:basedOn w:val="a"/>
    <w:link w:val="a7"/>
    <w:uiPriority w:val="99"/>
    <w:qFormat/>
    <w:pPr>
      <w:pBdr>
        <w:bottom w:val="single" w:sz="6" w:space="1" w:color="auto"/>
      </w:pBdr>
      <w:tabs>
        <w:tab w:val="center" w:pos="4153"/>
        <w:tab w:val="right" w:pos="8306"/>
      </w:tabs>
      <w:snapToGrid w:val="0"/>
      <w:jc w:val="center"/>
    </w:pPr>
    <w:rPr>
      <w:rFonts w:ascii="??" w:eastAsia="宋体" w:hAnsi="??" w:cs="??"/>
      <w:sz w:val="18"/>
      <w:szCs w:val="18"/>
    </w:rPr>
  </w:style>
  <w:style w:type="character" w:styleId="a8">
    <w:name w:val="Hyperlink"/>
    <w:basedOn w:val="a0"/>
    <w:uiPriority w:val="99"/>
    <w:semiHidden/>
    <w:unhideWhenUsed/>
    <w:qFormat/>
    <w:rPr>
      <w:color w:val="0000FF"/>
      <w:u w:val="single"/>
    </w:rPr>
  </w:style>
  <w:style w:type="character" w:customStyle="1" w:styleId="30">
    <w:name w:val="标题 3 字符"/>
    <w:basedOn w:val="a0"/>
    <w:link w:val="3"/>
    <w:uiPriority w:val="9"/>
    <w:semiHidden/>
    <w:qFormat/>
    <w:rPr>
      <w:rFonts w:ascii="Times New Roman" w:eastAsia="仿宋_GB2312" w:hAnsi="Times New Roman"/>
      <w:b/>
      <w:bCs/>
      <w:sz w:val="32"/>
      <w:szCs w:val="32"/>
    </w:rPr>
  </w:style>
  <w:style w:type="character" w:customStyle="1" w:styleId="a5">
    <w:name w:val="页脚 字符"/>
    <w:basedOn w:val="a0"/>
    <w:link w:val="a4"/>
    <w:uiPriority w:val="99"/>
    <w:qFormat/>
    <w:locked/>
    <w:rPr>
      <w:sz w:val="18"/>
      <w:szCs w:val="18"/>
    </w:rPr>
  </w:style>
  <w:style w:type="character" w:customStyle="1" w:styleId="a7">
    <w:name w:val="页眉 字符"/>
    <w:basedOn w:val="a0"/>
    <w:link w:val="a6"/>
    <w:uiPriority w:val="99"/>
    <w:qFormat/>
    <w:locked/>
    <w:rPr>
      <w:sz w:val="18"/>
      <w:szCs w:val="18"/>
    </w:rPr>
  </w:style>
  <w:style w:type="paragraph" w:customStyle="1" w:styleId="Style3">
    <w:name w:val="_Style 3"/>
    <w:basedOn w:val="a"/>
    <w:qFormat/>
    <w:pPr>
      <w:ind w:firstLineChars="200" w:firstLine="20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488</Words>
  <Characters>2782</Characters>
  <Application>Microsoft Office Word</Application>
  <DocSecurity>0</DocSecurity>
  <Lines>23</Lines>
  <Paragraphs>6</Paragraphs>
  <ScaleCrop>false</ScaleCrop>
  <Company>TJDN</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cp:lastModifiedBy>
  <cp:revision>12</cp:revision>
  <dcterms:created xsi:type="dcterms:W3CDTF">2023-09-12T05:19:00Z</dcterms:created>
  <dcterms:modified xsi:type="dcterms:W3CDTF">2023-09-19T08:49:00Z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A18F77E12E6A4B62908BA44F80F96956</vt:lpwstr>
  </property>
</Properties>
</file>