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hAnsi="仿宋_GB2312" w:eastAsia="仿宋_GB2312" w:cs="仿宋_GB2312"/>
          <w:b/>
          <w:bCs/>
          <w:spacing w:val="20"/>
          <w:w w:val="105"/>
          <w:sz w:val="36"/>
          <w:szCs w:val="36"/>
        </w:rPr>
      </w:pPr>
      <w:r>
        <w:rPr>
          <w:rFonts w:hint="eastAsia" w:ascii="仿宋_GB2312" w:hAnsi="仿宋_GB2312" w:eastAsia="仿宋_GB2312" w:cs="仿宋_GB2312"/>
          <w:b/>
          <w:bCs/>
          <w:spacing w:val="20"/>
          <w:w w:val="105"/>
          <w:sz w:val="36"/>
          <w:szCs w:val="36"/>
          <w:lang w:val="en-US" w:eastAsia="zh-CN"/>
        </w:rPr>
        <w:t>202</w:t>
      </w:r>
      <w:r>
        <w:rPr>
          <w:rFonts w:hint="eastAsia" w:ascii="仿宋_GB2312" w:hAnsi="仿宋_GB2312" w:cs="仿宋_GB2312"/>
          <w:b/>
          <w:bCs/>
          <w:spacing w:val="20"/>
          <w:w w:val="105"/>
          <w:sz w:val="36"/>
          <w:szCs w:val="36"/>
          <w:lang w:val="en-US" w:eastAsia="zh-CN"/>
        </w:rPr>
        <w:t>3</w:t>
      </w:r>
      <w:r>
        <w:rPr>
          <w:rFonts w:hint="eastAsia" w:ascii="仿宋_GB2312" w:hAnsi="仿宋_GB2312" w:eastAsia="仿宋_GB2312" w:cs="仿宋_GB2312"/>
          <w:b/>
          <w:bCs/>
          <w:spacing w:val="20"/>
          <w:w w:val="105"/>
          <w:sz w:val="36"/>
          <w:szCs w:val="36"/>
          <w:lang w:val="en-US" w:eastAsia="zh-CN"/>
        </w:rPr>
        <w:t>年</w:t>
      </w:r>
      <w:r>
        <w:rPr>
          <w:rFonts w:hint="eastAsia" w:ascii="仿宋_GB2312" w:hAnsi="仿宋_GB2312" w:cs="仿宋_GB2312"/>
          <w:b/>
          <w:bCs/>
          <w:spacing w:val="20"/>
          <w:w w:val="105"/>
          <w:sz w:val="36"/>
          <w:szCs w:val="36"/>
          <w:lang w:eastAsia="zh-CN"/>
        </w:rPr>
        <w:t>盘锦市</w:t>
      </w:r>
      <w:r>
        <w:rPr>
          <w:rFonts w:hint="eastAsia" w:ascii="仿宋_GB2312" w:hAnsi="仿宋_GB2312" w:eastAsia="仿宋_GB2312" w:cs="仿宋_GB2312"/>
          <w:b/>
          <w:bCs/>
          <w:spacing w:val="20"/>
          <w:w w:val="105"/>
          <w:sz w:val="36"/>
          <w:szCs w:val="36"/>
        </w:rPr>
        <w:t>食品接触用竹木材料及制品、实木菜板、无胶竹砧板产品质量</w:t>
      </w:r>
    </w:p>
    <w:p>
      <w:pPr>
        <w:jc w:val="center"/>
        <w:rPr>
          <w:rFonts w:hint="eastAsia" w:ascii="仿宋_GB2312" w:hAnsi="仿宋_GB2312" w:eastAsia="仿宋_GB2312" w:cs="仿宋_GB2312"/>
          <w:b/>
          <w:bCs/>
          <w:spacing w:val="20"/>
          <w:w w:val="105"/>
          <w:sz w:val="36"/>
          <w:szCs w:val="36"/>
        </w:rPr>
      </w:pPr>
      <w:r>
        <w:rPr>
          <w:rFonts w:hint="eastAsia" w:ascii="仿宋_GB2312" w:hAnsi="仿宋_GB2312" w:eastAsia="仿宋_GB2312" w:cs="仿宋_GB2312"/>
          <w:b/>
          <w:bCs/>
          <w:spacing w:val="20"/>
          <w:w w:val="105"/>
          <w:sz w:val="36"/>
          <w:szCs w:val="36"/>
        </w:rPr>
        <w:t>监督抽查实施细则</w:t>
      </w:r>
    </w:p>
    <w:p>
      <w:pPr>
        <w:jc w:val="center"/>
        <w:rPr>
          <w:rFonts w:hint="eastAsia" w:ascii="仿宋_GB2312" w:hAnsi="仿宋_GB2312" w:eastAsia="仿宋_GB2312" w:cs="仿宋_GB2312"/>
        </w:rPr>
      </w:pPr>
    </w:p>
    <w:p>
      <w:pPr>
        <w:adjustRightInd w:val="0"/>
        <w:snapToGrid w:val="0"/>
        <w:spacing w:line="360" w:lineRule="auto"/>
        <w:ind w:firstLine="551" w:firstLineChars="196"/>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1适用范围</w:t>
      </w:r>
    </w:p>
    <w:p>
      <w:pPr>
        <w:adjustRightInd w:val="0"/>
        <w:snapToGrid w:val="0"/>
        <w:spacing w:line="360" w:lineRule="auto"/>
        <w:ind w:firstLine="548" w:firstLineChars="196"/>
        <w:rPr>
          <w:rFonts w:hint="eastAsia"/>
          <w:highlight w:val="none"/>
        </w:rPr>
      </w:pPr>
      <w:r>
        <w:rPr>
          <w:rFonts w:hint="eastAsia" w:ascii="仿宋_GB2312" w:hAnsi="仿宋_GB2312" w:eastAsia="仿宋_GB2312" w:cs="仿宋_GB2312"/>
          <w:sz w:val="28"/>
          <w:szCs w:val="28"/>
          <w:highlight w:val="none"/>
        </w:rPr>
        <w:t>本细则适用于</w:t>
      </w:r>
      <w:r>
        <w:rPr>
          <w:rFonts w:hint="eastAsia" w:ascii="仿宋_GB2312" w:hAnsi="仿宋_GB2312" w:eastAsia="仿宋_GB2312" w:cs="仿宋_GB2312"/>
          <w:sz w:val="28"/>
          <w:szCs w:val="28"/>
          <w:highlight w:val="none"/>
          <w:lang w:val="en-US" w:eastAsia="zh-CN"/>
        </w:rPr>
        <w:t>盘锦</w:t>
      </w:r>
      <w:r>
        <w:rPr>
          <w:rFonts w:hint="eastAsia" w:ascii="仿宋_GB2312" w:hAnsi="仿宋_GB2312" w:eastAsia="仿宋_GB2312" w:cs="仿宋_GB2312"/>
          <w:sz w:val="28"/>
          <w:szCs w:val="28"/>
          <w:highlight w:val="none"/>
        </w:rPr>
        <w:t>市</w:t>
      </w:r>
      <w:r>
        <w:rPr>
          <w:rFonts w:hint="eastAsia" w:ascii="仿宋_GB2312" w:hAnsi="仿宋_GB2312" w:cs="仿宋_GB2312"/>
          <w:sz w:val="28"/>
          <w:szCs w:val="28"/>
          <w:highlight w:val="none"/>
          <w:lang w:eastAsia="zh-CN"/>
        </w:rPr>
        <w:t>食品接触用竹木材料及制品、实木菜板、无胶竹砧板</w:t>
      </w:r>
      <w:r>
        <w:rPr>
          <w:rFonts w:hint="eastAsia" w:ascii="仿宋_GB2312" w:hAnsi="仿宋_GB2312" w:eastAsia="仿宋_GB2312" w:cs="仿宋_GB2312"/>
          <w:sz w:val="28"/>
          <w:szCs w:val="28"/>
          <w:highlight w:val="none"/>
        </w:rPr>
        <w:t>产品质量监督抽查。本细则内容包括产品分类、术语和定义、生产</w:t>
      </w:r>
      <w:r>
        <w:rPr>
          <w:rFonts w:hint="eastAsia" w:ascii="仿宋_GB2312" w:hAnsi="仿宋_GB2312" w:eastAsia="仿宋_GB2312" w:cs="仿宋_GB2312"/>
          <w:sz w:val="28"/>
          <w:szCs w:val="28"/>
          <w:highlight w:val="none"/>
          <w:lang w:val="en-US" w:eastAsia="zh-CN"/>
        </w:rPr>
        <w:t>企业</w:t>
      </w:r>
      <w:r>
        <w:rPr>
          <w:rFonts w:hint="eastAsia" w:ascii="仿宋_GB2312" w:hAnsi="仿宋_GB2312" w:eastAsia="仿宋_GB2312" w:cs="仿宋_GB2312"/>
          <w:sz w:val="28"/>
          <w:szCs w:val="28"/>
          <w:highlight w:val="none"/>
        </w:rPr>
        <w:t>规模划分、检验依据、抽样、检验要求、判定原则、异议处理。</w:t>
      </w:r>
    </w:p>
    <w:p>
      <w:pPr>
        <w:adjustRightInd w:val="0"/>
        <w:snapToGrid w:val="0"/>
        <w:spacing w:line="360" w:lineRule="auto"/>
        <w:ind w:firstLine="551" w:firstLineChars="196"/>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rPr>
        <w:t>2产品分类、术语和定义</w:t>
      </w:r>
    </w:p>
    <w:p>
      <w:pPr>
        <w:adjustRightInd w:val="0"/>
        <w:snapToGrid w:val="0"/>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2.1产品分类及代码见表1 。</w:t>
      </w:r>
    </w:p>
    <w:p>
      <w:pPr>
        <w:adjustRightInd w:val="0"/>
        <w:snapToGrid w:val="0"/>
        <w:spacing w:line="594" w:lineRule="exact"/>
        <w:ind w:firstLine="411" w:firstLineChars="196"/>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表1 产品分类及代码</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83"/>
        <w:gridCol w:w="2334"/>
        <w:gridCol w:w="2185"/>
        <w:gridCol w:w="22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54"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产品分类</w:t>
            </w:r>
          </w:p>
        </w:tc>
        <w:tc>
          <w:tcPr>
            <w:tcW w:w="2295"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一级分类</w:t>
            </w:r>
          </w:p>
        </w:tc>
        <w:tc>
          <w:tcPr>
            <w:tcW w:w="2149"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二级分类</w:t>
            </w:r>
          </w:p>
        </w:tc>
        <w:tc>
          <w:tcPr>
            <w:tcW w:w="2183"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54"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分类代码</w:t>
            </w:r>
          </w:p>
        </w:tc>
        <w:tc>
          <w:tcPr>
            <w:tcW w:w="2295"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w:t>
            </w:r>
          </w:p>
        </w:tc>
        <w:tc>
          <w:tcPr>
            <w:tcW w:w="2149"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804</w:t>
            </w:r>
          </w:p>
        </w:tc>
        <w:tc>
          <w:tcPr>
            <w:tcW w:w="2183" w:type="dxa"/>
            <w:vAlign w:val="center"/>
          </w:tcPr>
          <w:p>
            <w:pPr>
              <w:adjustRightInd w:val="0"/>
              <w:snapToGrid w:val="0"/>
              <w:spacing w:line="0" w:lineRule="atLeast"/>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754"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分类名称</w:t>
            </w:r>
          </w:p>
        </w:tc>
        <w:tc>
          <w:tcPr>
            <w:tcW w:w="2295" w:type="dxa"/>
            <w:vAlign w:val="center"/>
          </w:tcPr>
          <w:p>
            <w:pPr>
              <w:adjustRightInd w:val="0"/>
              <w:snapToGrid w:val="0"/>
              <w:spacing w:line="0" w:lineRule="atLeast"/>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食品相关产品</w:t>
            </w:r>
          </w:p>
        </w:tc>
        <w:tc>
          <w:tcPr>
            <w:tcW w:w="2149" w:type="dxa"/>
            <w:vAlign w:val="center"/>
          </w:tcPr>
          <w:p>
            <w:pPr>
              <w:adjustRightInd w:val="0"/>
              <w:snapToGrid w:val="0"/>
              <w:spacing w:line="0" w:lineRule="atLeast"/>
              <w:jc w:val="center"/>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竹木材质食品相关产品</w:t>
            </w:r>
          </w:p>
        </w:tc>
        <w:tc>
          <w:tcPr>
            <w:tcW w:w="2183" w:type="dxa"/>
            <w:vAlign w:val="center"/>
          </w:tcPr>
          <w:p>
            <w:pPr>
              <w:adjustRightInd w:val="0"/>
              <w:snapToGrid w:val="0"/>
              <w:spacing w:line="0" w:lineRule="atLeast"/>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w:t>
            </w:r>
          </w:p>
        </w:tc>
      </w:tr>
    </w:tbl>
    <w:p>
      <w:pPr>
        <w:adjustRightInd w:val="0"/>
        <w:snapToGrid w:val="0"/>
        <w:spacing w:beforeLines="50" w:line="360" w:lineRule="auto"/>
        <w:ind w:firstLine="548" w:firstLineChars="196"/>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2.2产品种类</w:t>
      </w:r>
    </w:p>
    <w:p>
      <w:pPr>
        <w:adjustRightInd w:val="0"/>
        <w:snapToGrid w:val="0"/>
        <w:spacing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本细则涉及产品种类：</w:t>
      </w:r>
      <w:r>
        <w:rPr>
          <w:rFonts w:hint="eastAsia" w:ascii="仿宋_GB2312" w:hAnsi="仿宋_GB2312" w:cs="仿宋_GB2312"/>
          <w:sz w:val="28"/>
          <w:szCs w:val="28"/>
          <w:highlight w:val="none"/>
          <w:lang w:val="en-US" w:eastAsia="zh-CN"/>
        </w:rPr>
        <w:t>竹木材质的</w:t>
      </w:r>
      <w:r>
        <w:rPr>
          <w:rFonts w:hint="eastAsia" w:ascii="仿宋_GB2312" w:hAnsi="仿宋" w:eastAsia="仿宋_GB2312"/>
          <w:color w:val="000000"/>
          <w:sz w:val="28"/>
          <w:szCs w:val="28"/>
          <w:highlight w:val="none"/>
          <w:lang w:val="en-US" w:eastAsia="zh-CN"/>
        </w:rPr>
        <w:t>成套的碗、筷、刀、叉、勺、盘、碟、托盘、锅铲、砧板、蒸屉等</w:t>
      </w:r>
      <w:r>
        <w:rPr>
          <w:rFonts w:hint="eastAsia" w:ascii="仿宋_GB2312" w:hAnsi="仿宋_GB2312" w:eastAsia="仿宋_GB2312" w:cs="仿宋_GB2312"/>
          <w:sz w:val="28"/>
          <w:szCs w:val="28"/>
          <w:highlight w:val="none"/>
        </w:rPr>
        <w:t>。</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2.3术语和定义</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本细则中未列出的术语和定义同相关引用标准。</w:t>
      </w:r>
    </w:p>
    <w:p>
      <w:pPr>
        <w:adjustRightInd w:val="0"/>
        <w:snapToGrid w:val="0"/>
        <w:spacing w:line="360" w:lineRule="auto"/>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3生产</w:t>
      </w:r>
      <w:r>
        <w:rPr>
          <w:rFonts w:hint="eastAsia" w:ascii="仿宋_GB2312" w:hAnsi="仿宋_GB2312" w:cs="仿宋_GB2312"/>
          <w:b/>
          <w:bCs/>
          <w:sz w:val="28"/>
          <w:szCs w:val="28"/>
          <w:lang w:val="en-US" w:eastAsia="zh-CN"/>
        </w:rPr>
        <w:t>企业</w:t>
      </w:r>
      <w:r>
        <w:rPr>
          <w:rFonts w:hint="eastAsia" w:ascii="仿宋_GB2312" w:hAnsi="仿宋_GB2312" w:eastAsia="仿宋_GB2312" w:cs="仿宋_GB2312"/>
          <w:b/>
          <w:bCs/>
          <w:sz w:val="28"/>
          <w:szCs w:val="28"/>
        </w:rPr>
        <w:t>规模划分</w:t>
      </w:r>
    </w:p>
    <w:p>
      <w:pPr>
        <w:adjustRightInd w:val="0"/>
        <w:snapToGrid w:val="0"/>
        <w:spacing w:line="360" w:lineRule="auto"/>
        <w:ind w:firstLine="548" w:firstLineChars="196"/>
        <w:rPr>
          <w:rFonts w:hint="eastAsia" w:ascii="仿宋_GB2312" w:hAnsi="仿宋_GB2312" w:eastAsia="仿宋_GB2312" w:cs="仿宋_GB2312"/>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line="360" w:lineRule="auto"/>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4检验依据</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spacing w:line="360" w:lineRule="auto"/>
        <w:ind w:firstLine="560" w:firstLineChars="200"/>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GB 4806.12-2022《</w:t>
      </w:r>
      <w:r>
        <w:rPr>
          <w:rFonts w:hint="eastAsia" w:ascii="仿宋_GB2312" w:hAnsi="仿宋" w:eastAsia="仿宋_GB2312" w:cs="仿宋"/>
          <w:kern w:val="0"/>
          <w:sz w:val="28"/>
          <w:szCs w:val="28"/>
          <w:highlight w:val="none"/>
          <w:lang w:val="en-US" w:eastAsia="zh-CN"/>
        </w:rPr>
        <w:t xml:space="preserve">食品安全国家标准 </w:t>
      </w:r>
      <w:r>
        <w:rPr>
          <w:rFonts w:hint="eastAsia" w:ascii="仿宋_GB2312" w:hAnsi="仿宋" w:eastAsia="仿宋_GB2312" w:cs="仿宋"/>
          <w:kern w:val="0"/>
          <w:sz w:val="28"/>
          <w:szCs w:val="28"/>
          <w:highlight w:val="none"/>
        </w:rPr>
        <w:t>食品接触用竹木材料及制品》</w:t>
      </w:r>
    </w:p>
    <w:p>
      <w:pPr>
        <w:spacing w:line="360" w:lineRule="auto"/>
        <w:ind w:left="0" w:leftChars="0" w:firstLine="638" w:firstLineChars="228"/>
        <w:rPr>
          <w:rFonts w:hint="eastAsia" w:ascii="仿宋_GB2312" w:hAnsi="仿宋" w:eastAsia="仿宋_GB2312" w:cs="方正仿宋简体"/>
          <w:color w:val="000000"/>
          <w:sz w:val="28"/>
          <w:szCs w:val="28"/>
          <w:highlight w:val="none"/>
        </w:rPr>
      </w:pPr>
      <w:r>
        <w:rPr>
          <w:rFonts w:hint="eastAsia" w:ascii="仿宋_GB2312" w:hAnsi="仿宋" w:cs="仿宋_GB2312"/>
          <w:color w:val="000000"/>
          <w:sz w:val="28"/>
          <w:szCs w:val="28"/>
          <w:highlight w:val="none"/>
        </w:rPr>
        <w:t>LY/T 2486-2015《实木菜板》</w:t>
      </w:r>
    </w:p>
    <w:p>
      <w:pPr>
        <w:spacing w:line="360" w:lineRule="auto"/>
        <w:ind w:left="0" w:leftChars="0" w:firstLine="638" w:firstLineChars="228"/>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LY/T 3198-2020《无胶竹砧板》</w:t>
      </w:r>
    </w:p>
    <w:p>
      <w:pPr>
        <w:spacing w:line="360" w:lineRule="auto"/>
        <w:ind w:firstLine="560" w:firstLineChars="200"/>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GB 31604.8-2021《食品安全国家标准 食品接触材料及制品总迁移量的测定》</w:t>
      </w:r>
    </w:p>
    <w:p>
      <w:pPr>
        <w:spacing w:line="360" w:lineRule="auto"/>
        <w:ind w:firstLine="560" w:firstLineChars="200"/>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GB 31604.24-2016</w:t>
      </w:r>
      <w:r>
        <w:rPr>
          <w:rFonts w:hint="eastAsia" w:ascii="仿宋_GB2312" w:hAnsi="仿宋" w:cs="仿宋"/>
          <w:kern w:val="0"/>
          <w:sz w:val="28"/>
          <w:szCs w:val="28"/>
          <w:highlight w:val="none"/>
          <w:lang w:eastAsia="zh-CN"/>
        </w:rPr>
        <w:t>《</w:t>
      </w:r>
      <w:r>
        <w:rPr>
          <w:rFonts w:hint="eastAsia" w:ascii="仿宋_GB2312" w:hAnsi="仿宋" w:eastAsia="仿宋_GB2312" w:cs="仿宋"/>
          <w:kern w:val="0"/>
          <w:sz w:val="28"/>
          <w:szCs w:val="28"/>
          <w:highlight w:val="none"/>
        </w:rPr>
        <w:t>食品安全国家标准 食品接触材料及制品 镉迁移量的测定</w:t>
      </w:r>
      <w:r>
        <w:rPr>
          <w:rFonts w:hint="eastAsia" w:ascii="仿宋_GB2312" w:hAnsi="仿宋" w:cs="仿宋"/>
          <w:kern w:val="0"/>
          <w:sz w:val="28"/>
          <w:szCs w:val="28"/>
          <w:highlight w:val="none"/>
          <w:lang w:eastAsia="zh-CN"/>
        </w:rPr>
        <w:t>》</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31604.32-2016《食品安全国家标准 食品接触材料及制品 木质材料中二氧化硫的测定》</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31604.34-2016《食品安全国家标准 食品接触材料及制品 铅的测定和迁移量的测定》</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31604.38-2016《食品安全国家标准 食品接触材料及制品 砷的测定和迁移量的测定》</w:t>
      </w:r>
    </w:p>
    <w:p>
      <w:pPr>
        <w:spacing w:line="360" w:lineRule="auto"/>
        <w:ind w:firstLine="560" w:firstLineChars="200"/>
        <w:rPr>
          <w:rFonts w:hint="eastAsia" w:ascii="仿宋_GB2312" w:hAnsi="仿宋" w:eastAsia="仿宋_GB2312" w:cs="仿宋"/>
          <w:kern w:val="0"/>
          <w:sz w:val="28"/>
          <w:szCs w:val="28"/>
          <w:highlight w:val="none"/>
        </w:rPr>
      </w:pPr>
      <w:r>
        <w:rPr>
          <w:rFonts w:hint="eastAsia" w:ascii="仿宋_GB2312" w:hAnsi="仿宋" w:eastAsia="仿宋_GB2312" w:cs="仿宋"/>
          <w:kern w:val="0"/>
          <w:sz w:val="28"/>
          <w:szCs w:val="28"/>
          <w:highlight w:val="none"/>
        </w:rPr>
        <w:t>GB 31604.48-2016《食品安全国家标准 食品接触材料及制品 甲醛迁移量的测定》</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14934-2016《食品安全国家标准 消毒餐（饮）具》</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GB/T 17657-2022《人造板及饰面人造板理化性能试验方法》</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18580-2017《室内装饰装修材料 人造板及其制品中甲醛释放限量》</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4789.3-2016《食品安全国家标准 食品微生物学检验 大肠菌群计数》</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4789.4-2016《食品安全国家标准 食品微生物学检验 沙门氏菌检验》</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4789.5-2012《食品安全国家标准 食品微生物学检验 志贺氏菌检验》</w:t>
      </w:r>
    </w:p>
    <w:p>
      <w:pPr>
        <w:pStyle w:val="5"/>
        <w:rPr>
          <w:rFonts w:hint="eastAsia" w:ascii="仿宋_GB2312" w:hAnsi="仿宋" w:eastAsia="仿宋_GB2312" w:cs="仿宋"/>
          <w:kern w:val="0"/>
          <w:sz w:val="28"/>
          <w:szCs w:val="28"/>
          <w:highlight w:val="none"/>
          <w:lang w:val="en-US" w:eastAsia="zh-CN" w:bidi="ar-SA"/>
        </w:rPr>
      </w:pPr>
      <w:r>
        <w:rPr>
          <w:rFonts w:hint="eastAsia" w:ascii="仿宋_GB2312" w:hAnsi="仿宋" w:eastAsia="仿宋_GB2312" w:cs="仿宋"/>
          <w:kern w:val="0"/>
          <w:sz w:val="28"/>
          <w:szCs w:val="28"/>
          <w:highlight w:val="none"/>
          <w:lang w:val="en-US" w:eastAsia="zh-CN" w:bidi="ar-SA"/>
        </w:rPr>
        <w:t>GB 4789.10-2016《食品安全国家标准 食品微生物学检验 金黄色葡萄球菌检验》</w:t>
      </w:r>
    </w:p>
    <w:p>
      <w:pPr>
        <w:pStyle w:val="5"/>
        <w:rPr>
          <w:rFonts w:hint="eastAsia"/>
          <w:highlight w:val="none"/>
        </w:rPr>
      </w:pPr>
      <w:r>
        <w:rPr>
          <w:rFonts w:hint="eastAsia" w:ascii="仿宋_GB2312" w:hAnsi="仿宋" w:eastAsia="仿宋_GB2312" w:cs="仿宋"/>
          <w:kern w:val="0"/>
          <w:sz w:val="28"/>
          <w:szCs w:val="28"/>
          <w:highlight w:val="none"/>
          <w:lang w:val="en-US" w:eastAsia="zh-CN" w:bidi="ar-SA"/>
        </w:rPr>
        <w:t>GB 4789.15-2016《食品安全国家标准 食品微生物学检验 霉菌和酵母计数》</w:t>
      </w:r>
    </w:p>
    <w:p>
      <w:pPr>
        <w:spacing w:line="360" w:lineRule="auto"/>
        <w:ind w:left="0" w:leftChars="0" w:firstLine="638" w:firstLineChars="228"/>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相关的法律法规、部门规章</w:t>
      </w:r>
      <w:r>
        <w:rPr>
          <w:rFonts w:hint="eastAsia" w:ascii="仿宋_GB2312" w:hAnsi="仿宋_GB2312" w:eastAsia="仿宋_GB2312" w:cs="仿宋_GB2312"/>
          <w:sz w:val="28"/>
          <w:szCs w:val="28"/>
        </w:rPr>
        <w:t>和规范</w:t>
      </w:r>
    </w:p>
    <w:p>
      <w:pPr>
        <w:spacing w:line="360" w:lineRule="auto"/>
        <w:ind w:left="0" w:leftChars="0" w:firstLine="638" w:firstLineChars="228"/>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现行有效的企业标准、团体标准、地方标准及产品明示质量要求</w:t>
      </w:r>
    </w:p>
    <w:p>
      <w:pPr>
        <w:spacing w:line="360" w:lineRule="auto"/>
        <w:ind w:firstLine="562" w:firstLineChars="200"/>
        <w:rPr>
          <w:rFonts w:hint="eastAsia" w:ascii="仿宋_GB2312" w:hAnsi="仿宋_GB2312" w:eastAsia="仿宋_GB2312" w:cs="仿宋_GB2312"/>
          <w:b/>
          <w:bCs/>
          <w:color w:val="000000"/>
          <w:sz w:val="28"/>
          <w:szCs w:val="28"/>
        </w:rPr>
      </w:pPr>
      <w:r>
        <w:rPr>
          <w:rFonts w:hint="eastAsia" w:ascii="仿宋_GB2312" w:hAnsi="仿宋_GB2312" w:eastAsia="仿宋_GB2312" w:cs="仿宋_GB2312"/>
          <w:b/>
          <w:bCs/>
          <w:sz w:val="28"/>
          <w:szCs w:val="28"/>
        </w:rPr>
        <w:t>5抽样</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5.1抽样型号或规格</w:t>
      </w:r>
    </w:p>
    <w:p>
      <w:pPr>
        <w:adjustRightInd w:val="0"/>
        <w:snapToGrid w:val="0"/>
        <w:spacing w:line="360" w:lineRule="auto"/>
        <w:ind w:firstLine="560" w:firstLineChars="200"/>
        <w:jc w:val="both"/>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eastAsia="zh-CN"/>
        </w:rPr>
        <w:t>在企业的待销产品中随机抽取有产品质量检验合格证明或者以其他形式表明合格的、1年内生产的产品。不应抽查的易混淆产品种类：预期不与食品接触的竹木制品、玩具类竹木制品。</w:t>
      </w:r>
    </w:p>
    <w:p>
      <w:pPr>
        <w:adjustRightInd w:val="0"/>
        <w:snapToGrid w:val="0"/>
        <w:spacing w:line="360" w:lineRule="auto"/>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 xml:space="preserve">抽取样品应为同一型号规格、同一批次的产品。           </w:t>
      </w:r>
    </w:p>
    <w:p>
      <w:pPr>
        <w:spacing w:line="594"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5.2抽样基数、抽样数量</w:t>
      </w:r>
    </w:p>
    <w:p>
      <w:pPr>
        <w:spacing w:line="594" w:lineRule="exact"/>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5.2.1抽样基数</w:t>
      </w:r>
    </w:p>
    <w:p>
      <w:pPr>
        <w:spacing w:line="594" w:lineRule="exact"/>
        <w:ind w:firstLine="560" w:firstLineChars="200"/>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lang w:eastAsia="zh-CN"/>
        </w:rPr>
        <w:t>抽查样品基数满足抽样数量即可。</w:t>
      </w:r>
    </w:p>
    <w:p>
      <w:pPr>
        <w:spacing w:line="594" w:lineRule="exact"/>
        <w:ind w:firstLine="560" w:firstLineChars="200"/>
        <w:rPr>
          <w:rFonts w:hint="eastAsia" w:ascii="仿宋_GB2312" w:hAnsi="仿宋_GB2312" w:eastAsia="仿宋_GB2312" w:cs="仿宋_GB2312"/>
          <w:color w:val="000000"/>
          <w:kern w:val="2"/>
          <w:sz w:val="28"/>
          <w:szCs w:val="28"/>
          <w:lang w:val="en-US" w:eastAsia="zh-CN" w:bidi="ar-SA"/>
        </w:rPr>
      </w:pPr>
      <w:r>
        <w:rPr>
          <w:rFonts w:hint="eastAsia" w:ascii="仿宋_GB2312" w:hAnsi="仿宋_GB2312" w:eastAsia="仿宋_GB2312" w:cs="仿宋_GB2312"/>
          <w:color w:val="000000"/>
          <w:kern w:val="2"/>
          <w:sz w:val="28"/>
          <w:szCs w:val="28"/>
          <w:lang w:val="en-US" w:eastAsia="zh-CN" w:bidi="ar-SA"/>
        </w:rPr>
        <w:t>5.2.2抽样方法</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从经销企业待销</w:t>
      </w:r>
      <w:r>
        <w:rPr>
          <w:rFonts w:hint="eastAsia" w:ascii="仿宋_GB2312" w:hAnsi="仿宋_GB2312" w:eastAsia="仿宋_GB2312" w:cs="仿宋_GB2312"/>
          <w:sz w:val="28"/>
          <w:szCs w:val="28"/>
          <w:lang w:val="en-US" w:eastAsia="zh-Hans"/>
        </w:rPr>
        <w:t>产品</w:t>
      </w:r>
      <w:r>
        <w:rPr>
          <w:rFonts w:hint="eastAsia" w:ascii="仿宋_GB2312" w:hAnsi="仿宋_GB2312" w:cs="仿宋_GB2312"/>
          <w:sz w:val="28"/>
          <w:szCs w:val="28"/>
          <w:lang w:val="en-US" w:eastAsia="zh-Hans"/>
        </w:rPr>
        <w:t>中</w:t>
      </w:r>
      <w:r>
        <w:rPr>
          <w:rFonts w:hint="eastAsia" w:ascii="仿宋_GB2312" w:hAnsi="仿宋_GB2312" w:eastAsia="仿宋_GB2312" w:cs="仿宋_GB2312"/>
          <w:sz w:val="28"/>
          <w:szCs w:val="28"/>
        </w:rPr>
        <w:t>的同一批产品不同部位等量抽取，抽取的样品应有代表性，所抽样品分成二份，一份为检验样品；一份为备用样品。</w:t>
      </w:r>
    </w:p>
    <w:p>
      <w:pPr>
        <w:spacing w:line="594" w:lineRule="exact"/>
        <w:ind w:firstLine="560" w:firstLineChars="200"/>
        <w:rPr>
          <w:rFonts w:hint="eastAsia" w:ascii="仿宋_GB2312" w:hAnsi="仿宋_GB2312" w:eastAsia="仿宋_GB2312" w:cs="仿宋_GB2312"/>
          <w:sz w:val="28"/>
          <w:szCs w:val="28"/>
          <w:lang w:val="en-US" w:eastAsia="zh-Hans"/>
        </w:rPr>
      </w:pPr>
      <w:r>
        <w:rPr>
          <w:rFonts w:hint="eastAsia" w:ascii="仿宋_GB2312" w:hAnsi="仿宋_GB2312" w:eastAsia="仿宋_GB2312" w:cs="仿宋_GB2312"/>
          <w:sz w:val="28"/>
          <w:szCs w:val="28"/>
          <w:lang w:val="en-US" w:eastAsia="zh-Hans"/>
        </w:rPr>
        <w:t>随机数一般可使用随机数表、随机数骰子或扑克牌等方法产生。</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5.2.3抽样数量</w:t>
      </w:r>
    </w:p>
    <w:p>
      <w:pPr>
        <w:spacing w:line="594" w:lineRule="exact"/>
        <w:ind w:firstLine="560" w:firstLineChars="20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砧板、托盘、分格餐盘等产品抽取样品10个，其中6个作为检验样品，4个作为备用样品；碗、杯类等产品抽取样品30个，其中20个作为检验样品，10个作为备用样品；勺类等产品抽取样品60个，其中40个作为检验样品，20个作为备用样品；筷子（含筷头）抽样数量为200双，其中100双作为检验样品，100双作为备用样品。在满足检验的条件下，产品抽样数量可根据样品的实际大小做适当调整。</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5.2.4抽样时应注意的问题</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5.2.4.1应由抽样技术人员在现场进行抽取，不得由企业自行抽样。抽取的样品应当是有产品质量检验合格证明或者以其他形式表明合格的产品。</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5.2.4.2抽样时，抽样人员应当认真核实营业执照等被抽查企业的相关信息，确认企业不存在不得抽样的情形。遇有下列情况之一且能提供有效证明的，不得抽样： </w:t>
      </w:r>
    </w:p>
    <w:p>
      <w:pPr>
        <w:spacing w:line="594"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（1）被抽查企业无监督抽查通知书或者相关文件复印件所列产品的；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（2）有充分证据证明拟抽查的产品是不用于销售的；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（3）产品不涉及强制性标准要求，仅按双方约定的技术要求加工生产，且未执行任何标准的；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（4）有充分证据证明拟抽查的产品为企业用于出口，并且出口合同对产品质量另有规定的；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（5）产品或者标签、包装、说明书标有“试制</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处理”或者“样品”等字样的；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（6）企业提供上级市场监管部门6个月内该种产品的监督抽查抽样单或者合格检验报告的。</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5.3样品处置</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封样单上应有被抽查企业和抽样技术人员的签名，注明抽样日期，并确认封样单牢固。</w:t>
      </w:r>
    </w:p>
    <w:p>
      <w:pPr>
        <w:adjustRightInd w:val="0"/>
        <w:snapToGrid w:val="0"/>
        <w:spacing w:line="360" w:lineRule="auto"/>
        <w:ind w:firstLine="548" w:firstLineChars="196"/>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5.4抽样单</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应按有关规定填写抽样单，并记录被抽查产品及企业相关信息。同时记录被抽查企业上一年度生产的</w:t>
      </w:r>
      <w:r>
        <w:rPr>
          <w:rFonts w:hint="eastAsia" w:ascii="仿宋_GB2312" w:hAnsi="仿宋_GB2312" w:cs="仿宋_GB2312"/>
          <w:sz w:val="28"/>
          <w:szCs w:val="28"/>
          <w:lang w:eastAsia="zh-CN"/>
        </w:rPr>
        <w:t>食品接触用竹木材料及制品、实木菜板、无胶竹砧板</w:t>
      </w:r>
      <w:r>
        <w:rPr>
          <w:rFonts w:hint="eastAsia" w:ascii="仿宋_GB2312" w:hAnsi="仿宋_GB2312" w:eastAsia="仿宋_GB2312" w:cs="仿宋_GB2312"/>
          <w:sz w:val="28"/>
          <w:szCs w:val="28"/>
        </w:rPr>
        <w:t>相应产品销售额，以万元计；若企业上一年度未生产，则记录本年度实际销售额，并加以注明。</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5.5样品获取方式</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监督抽查所需的样品要在受检单位以购买方式获取。</w:t>
      </w:r>
    </w:p>
    <w:p>
      <w:pPr>
        <w:adjustRightInd w:val="0"/>
        <w:snapToGrid w:val="0"/>
        <w:spacing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5.6其他要求</w:t>
      </w:r>
    </w:p>
    <w:p>
      <w:pPr>
        <w:adjustRightInd w:val="0"/>
        <w:snapToGrid w:val="0"/>
        <w:spacing w:line="360" w:lineRule="auto"/>
        <w:ind w:firstLine="560" w:firstLine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可对抽样的关键过程留下影像资料。在进入企业、取样、双方签字确认等环节时，影像资料要能清晰记录企业名称、营业执照名称、被抽样的产品、抽样状态、抽样人员和企业陪同人员等。</w:t>
      </w:r>
    </w:p>
    <w:p>
      <w:pPr>
        <w:adjustRightInd w:val="0"/>
        <w:snapToGrid w:val="0"/>
        <w:spacing w:line="360" w:lineRule="auto"/>
        <w:ind w:firstLine="551" w:firstLineChars="196"/>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6检验要求</w:t>
      </w:r>
    </w:p>
    <w:p>
      <w:pPr>
        <w:adjustRightInd w:val="0"/>
        <w:snapToGrid w:val="0"/>
        <w:spacing w:line="360" w:lineRule="auto"/>
        <w:ind w:firstLine="548" w:firstLineChars="196"/>
        <w:rPr>
          <w:rFonts w:hint="eastAsia" w:ascii="仿宋_GB2312" w:hAnsi="仿宋_GB2312" w:eastAsia="仿宋_GB2312" w:cs="仿宋_GB2312"/>
          <w:highlight w:val="yellow"/>
        </w:rPr>
      </w:pPr>
      <w:r>
        <w:rPr>
          <w:rFonts w:hint="eastAsia" w:ascii="仿宋_GB2312" w:hAnsi="仿宋_GB2312" w:eastAsia="仿宋_GB2312" w:cs="仿宋_GB2312"/>
          <w:sz w:val="28"/>
          <w:szCs w:val="28"/>
        </w:rPr>
        <w:t>6.1检验项目</w:t>
      </w:r>
    </w:p>
    <w:p>
      <w:pPr>
        <w:widowControl/>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表</w:t>
      </w:r>
      <w:r>
        <w:rPr>
          <w:rFonts w:hint="eastAsia" w:ascii="宋体" w:hAnsi="宋体" w:eastAsia="宋体" w:cs="宋体"/>
          <w:sz w:val="21"/>
          <w:szCs w:val="21"/>
          <w:highlight w:val="none"/>
          <w:lang w:val="en-US" w:eastAsia="zh-CN"/>
        </w:rPr>
        <w:t>2 食品接触用竹木材料及制品检</w:t>
      </w:r>
      <w:r>
        <w:rPr>
          <w:rFonts w:hint="eastAsia" w:ascii="宋体" w:hAnsi="宋体" w:eastAsia="宋体" w:cs="宋体"/>
          <w:sz w:val="21"/>
          <w:szCs w:val="21"/>
          <w:highlight w:val="none"/>
        </w:rPr>
        <w:t>验项目</w:t>
      </w:r>
    </w:p>
    <w:tbl>
      <w:tblPr>
        <w:tblStyle w:val="8"/>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2771"/>
        <w:gridCol w:w="2676"/>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检验项目</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依据标准</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感官</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浸泡液</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vAlign w:val="center"/>
          </w:tcPr>
          <w:p>
            <w:pPr>
              <w:snapToGrid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总迁移量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31604.8-2021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甲醛</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GB 31604.</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8-20</w:t>
            </w:r>
            <w:r>
              <w:rPr>
                <w:rFonts w:hint="eastAsia" w:ascii="宋体" w:hAnsi="宋体" w:eastAsia="宋体" w:cs="宋体"/>
                <w:sz w:val="21"/>
                <w:szCs w:val="21"/>
                <w:highlight w:val="none"/>
                <w:lang w:val="en-US" w:eastAsia="zh-CN"/>
              </w:rPr>
              <w:t>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二氧化硫</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rPr>
              <w:t>GB 4806.12-2022</w:t>
            </w:r>
            <w:r>
              <w:rPr>
                <w:rFonts w:hint="eastAsia" w:ascii="宋体" w:hAnsi="宋体" w:eastAsia="宋体" w:cs="宋体"/>
                <w:sz w:val="21"/>
                <w:szCs w:val="21"/>
                <w:highlight w:val="none"/>
                <w:lang w:val="en-US" w:eastAsia="zh-CN"/>
              </w:rPr>
              <w:t>附录A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2771"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大肠菌群</w:t>
            </w:r>
            <w:r>
              <w:rPr>
                <w:rFonts w:hint="eastAsia" w:ascii="宋体" w:hAnsi="宋体" w:eastAsia="宋体" w:cs="宋体"/>
                <w:sz w:val="21"/>
                <w:szCs w:val="21"/>
                <w:highlight w:val="none"/>
                <w:vertAlign w:val="superscript"/>
                <w:lang w:val="en-US" w:eastAsia="zh-CN"/>
              </w:rPr>
              <w:t>a</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2771"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沙门氏菌</w:t>
            </w:r>
            <w:r>
              <w:rPr>
                <w:rFonts w:hint="eastAsia" w:ascii="宋体" w:hAnsi="宋体" w:eastAsia="宋体" w:cs="宋体"/>
                <w:sz w:val="21"/>
                <w:szCs w:val="21"/>
                <w:highlight w:val="none"/>
                <w:vertAlign w:val="superscript"/>
                <w:lang w:val="en-US" w:eastAsia="zh-CN"/>
              </w:rPr>
              <w:t>a</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 4806.12-2022</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备注</w:t>
            </w:r>
          </w:p>
        </w:tc>
        <w:tc>
          <w:tcPr>
            <w:tcW w:w="8118" w:type="dxa"/>
            <w:gridSpan w:val="3"/>
            <w:vAlign w:val="center"/>
          </w:tcPr>
          <w:p>
            <w:pPr>
              <w:snapToGrid w:val="0"/>
              <w:jc w:val="left"/>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vertAlign w:val="superscript"/>
              </w:rPr>
              <w:t>a</w:t>
            </w:r>
            <w:r>
              <w:rPr>
                <w:rFonts w:hint="eastAsia" w:ascii="宋体" w:hAnsi="宋体" w:eastAsia="宋体" w:cs="宋体"/>
                <w:sz w:val="21"/>
                <w:szCs w:val="21"/>
                <w:highlight w:val="none"/>
              </w:rPr>
              <w:t xml:space="preserve"> 预期与食品直接接触，且不经过消毒或清洗直接使用的竹木材料及制品的微生物应符合GB 14934的规定，与食用、烹饪或者加工前需经去皮、去壳或清洗的食品接触的竹木材料及制品除外。</w:t>
            </w:r>
          </w:p>
        </w:tc>
      </w:tr>
    </w:tbl>
    <w:p>
      <w:pPr>
        <w:widowControl/>
        <w:jc w:val="center"/>
        <w:rPr>
          <w:rFonts w:hint="eastAsia" w:ascii="宋体" w:hAnsi="宋体" w:eastAsia="宋体" w:cs="宋体"/>
          <w:sz w:val="21"/>
          <w:szCs w:val="21"/>
          <w:highlight w:val="yellow"/>
        </w:rPr>
      </w:pPr>
    </w:p>
    <w:p>
      <w:pPr>
        <w:widowControl/>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表</w:t>
      </w:r>
      <w:r>
        <w:rPr>
          <w:rFonts w:hint="eastAsia" w:ascii="宋体" w:hAnsi="宋体" w:eastAsia="宋体" w:cs="宋体"/>
          <w:sz w:val="21"/>
          <w:szCs w:val="21"/>
          <w:highlight w:val="none"/>
          <w:lang w:val="en-US" w:eastAsia="zh-CN"/>
        </w:rPr>
        <w:t>3 实木菜板</w:t>
      </w:r>
      <w:r>
        <w:rPr>
          <w:rFonts w:hint="eastAsia" w:ascii="宋体" w:hAnsi="宋体" w:eastAsia="宋体" w:cs="宋体"/>
          <w:sz w:val="21"/>
          <w:szCs w:val="21"/>
          <w:highlight w:val="none"/>
        </w:rPr>
        <w:t>检验项目</w:t>
      </w:r>
    </w:p>
    <w:tbl>
      <w:tblPr>
        <w:tblStyle w:val="8"/>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2771"/>
        <w:gridCol w:w="2676"/>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检验项目</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依据标准</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规格尺寸与偏差</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含水率</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甲醛释放量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18580-2017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浸渍剥离</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5</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大肠菌群</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霉菌</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14934-2016、GB 4789.15-2016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沙门氏菌</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14934-2016、GB 4789.4-2016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志贺氏菌</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default" w:ascii="宋体" w:hAnsi="宋体" w:eastAsia="宋体" w:cs="宋体"/>
                <w:sz w:val="21"/>
                <w:szCs w:val="21"/>
                <w:highlight w:val="none"/>
                <w:lang w:val="en-US"/>
              </w:rPr>
            </w:pPr>
            <w:r>
              <w:rPr>
                <w:rFonts w:hint="eastAsia" w:ascii="宋体" w:hAnsi="宋体" w:eastAsia="宋体" w:cs="宋体"/>
                <w:sz w:val="21"/>
                <w:szCs w:val="21"/>
                <w:highlight w:val="none"/>
                <w:lang w:val="en-US" w:eastAsia="zh-CN"/>
              </w:rPr>
              <w:t>GB 14934-2016、GB 4789.5-2012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金黄色葡萄球菌</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2486-2015</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14934-2016、GB 4789.10-2016</w:t>
            </w:r>
          </w:p>
        </w:tc>
      </w:tr>
    </w:tbl>
    <w:p>
      <w:pPr>
        <w:snapToGrid w:val="0"/>
        <w:jc w:val="center"/>
        <w:rPr>
          <w:rFonts w:hint="eastAsia" w:ascii="宋体" w:hAnsi="宋体" w:eastAsia="宋体" w:cs="宋体"/>
          <w:sz w:val="21"/>
          <w:szCs w:val="21"/>
          <w:highlight w:val="none"/>
          <w:lang w:eastAsia="zh-CN"/>
        </w:rPr>
      </w:pPr>
    </w:p>
    <w:p>
      <w:pPr>
        <w:widowControl/>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eastAsia="zh-CN"/>
        </w:rPr>
        <w:t>表</w:t>
      </w:r>
      <w:r>
        <w:rPr>
          <w:rFonts w:hint="eastAsia" w:ascii="宋体" w:hAnsi="宋体" w:eastAsia="宋体" w:cs="宋体"/>
          <w:sz w:val="21"/>
          <w:szCs w:val="21"/>
          <w:highlight w:val="none"/>
          <w:lang w:val="en-US" w:eastAsia="zh-CN"/>
        </w:rPr>
        <w:t>4无胶竹砧板</w:t>
      </w:r>
      <w:r>
        <w:rPr>
          <w:rFonts w:hint="eastAsia" w:ascii="宋体" w:hAnsi="宋体" w:eastAsia="宋体" w:cs="宋体"/>
          <w:sz w:val="21"/>
          <w:szCs w:val="21"/>
          <w:highlight w:val="none"/>
        </w:rPr>
        <w:t>检验项目</w:t>
      </w:r>
    </w:p>
    <w:tbl>
      <w:tblPr>
        <w:tblStyle w:val="8"/>
        <w:tblW w:w="90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2771"/>
        <w:gridCol w:w="2676"/>
        <w:gridCol w:w="26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序号</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检验项目</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依据标准</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规格尺寸及偏差</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2</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含水率</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GB/T 17657-2022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拼接质量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4</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使用面抗冲击性能</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5</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提手牢固性</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6</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二氧化硫迁移量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31604.32-2016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7</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氧化剂残留量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8</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砷迁移量</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31604.38-2016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9</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重金属迁移量 铅</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GB 31604.34-2016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903" w:type="dxa"/>
            <w:vAlign w:val="center"/>
          </w:tcPr>
          <w:p>
            <w:pPr>
              <w:snapToGrid w:val="0"/>
              <w:jc w:val="center"/>
              <w:rPr>
                <w:rFonts w:hint="default"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p>
        </w:tc>
        <w:tc>
          <w:tcPr>
            <w:tcW w:w="27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重金属迁移量</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镉</w:t>
            </w:r>
          </w:p>
        </w:tc>
        <w:tc>
          <w:tcPr>
            <w:tcW w:w="2676"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LY/T 3198-2020</w:t>
            </w:r>
          </w:p>
        </w:tc>
        <w:tc>
          <w:tcPr>
            <w:tcW w:w="2671" w:type="dxa"/>
            <w:vAlign w:val="center"/>
          </w:tcPr>
          <w:p>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GB31604.24-2016</w:t>
            </w:r>
          </w:p>
        </w:tc>
      </w:tr>
    </w:tbl>
    <w:p>
      <w:pPr>
        <w:snapToGrid w:val="0"/>
        <w:jc w:val="center"/>
        <w:rPr>
          <w:rFonts w:hint="eastAsia" w:ascii="宋体" w:hAnsi="宋体" w:eastAsia="宋体" w:cs="宋体"/>
          <w:sz w:val="21"/>
          <w:szCs w:val="21"/>
          <w:highlight w:val="none"/>
        </w:rPr>
      </w:pPr>
    </w:p>
    <w:p>
      <w:pPr>
        <w:widowControl/>
        <w:spacing w:line="240" w:lineRule="atLeast"/>
        <w:jc w:val="left"/>
        <w:rPr>
          <w:rFonts w:hint="eastAsia" w:ascii="仿宋_GB2312" w:hAnsi="仿宋_GB2312" w:eastAsia="仿宋_GB2312" w:cs="仿宋_GB2312"/>
        </w:rPr>
      </w:pPr>
      <w:r>
        <w:rPr>
          <w:rFonts w:hint="eastAsia" w:ascii="仿宋_GB2312" w:hAnsi="仿宋_GB2312" w:eastAsia="仿宋_GB2312" w:cs="仿宋_GB2312"/>
        </w:rPr>
        <w:t>注：检验方法包括相关产品标准及试验方法标准。执行企业标准时，按照企业标准规定指标并结合国家、行业标准进行比较。</w:t>
      </w:r>
    </w:p>
    <w:p>
      <w:pPr>
        <w:pStyle w:val="5"/>
        <w:spacing w:line="240" w:lineRule="atLeast"/>
        <w:ind w:firstLine="31680"/>
        <w:rPr>
          <w:rFonts w:hint="eastAsia" w:ascii="仿宋_GB2312" w:hAnsi="仿宋_GB2312" w:eastAsia="仿宋_GB2312" w:cs="仿宋_GB2312"/>
          <w:sz w:val="28"/>
          <w:szCs w:val="28"/>
        </w:rPr>
      </w:pPr>
      <w:r>
        <w:rPr>
          <w:rFonts w:hint="eastAsia" w:ascii="仿宋_GB2312" w:hAnsi="仿宋_GB2312" w:eastAsia="仿宋_GB2312" w:cs="仿宋_GB2312"/>
        </w:rPr>
        <w:t>凡是注日期的文件，其随后所有的修改单（不包括勘误的内容）或修订版不适用于本细则。凡是不注日期的文件，其最新版本适用于本细则。</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6.2检验应注意的问题</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若被检产品明示的质量要求缺少本细则中检验项目依据的推荐性标准要求时，该项目不参与判定，但应在检验报告备注中进行说明。</w:t>
      </w:r>
    </w:p>
    <w:p>
      <w:pPr>
        <w:adjustRightInd w:val="0"/>
        <w:snapToGrid w:val="0"/>
        <w:spacing w:line="360" w:lineRule="auto"/>
        <w:ind w:firstLine="551" w:firstLineChars="196"/>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7判定原则</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551" w:firstLineChars="196"/>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8异议处理</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 w:eastAsia="仿宋_GB2312" w:cs="仿宋"/>
          <w:sz w:val="28"/>
          <w:szCs w:val="28"/>
        </w:rPr>
        <w:t>对被判定为不合格企业进行异议处理时，按以下方式进行：</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8.2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pPr>
        <w:adjustRightInd w:val="0"/>
        <w:snapToGrid w:val="0"/>
        <w:spacing w:line="360" w:lineRule="auto"/>
        <w:ind w:firstLine="548" w:firstLineChars="196"/>
        <w:rPr>
          <w:rFonts w:ascii="仿宋_GB2312" w:eastAsia="仿宋_GB2312"/>
          <w:sz w:val="28"/>
          <w:szCs w:val="28"/>
        </w:rPr>
      </w:pPr>
      <w:r>
        <w:rPr>
          <w:rFonts w:hint="eastAsia" w:ascii="仿宋_GB2312" w:hAnsi="仿宋_GB2312" w:eastAsia="仿宋_GB2312" w:cs="仿宋_GB2312"/>
          <w:sz w:val="28"/>
          <w:szCs w:val="28"/>
          <w:lang w:val="en-US" w:eastAsia="zh-CN"/>
        </w:rPr>
        <w:t>8.3</w:t>
      </w:r>
      <w:r>
        <w:rPr>
          <w:rFonts w:hint="eastAsia" w:ascii="仿宋_GB2312" w:hAnsi="仿宋_GB2312" w:eastAsia="仿宋_GB2312" w:cs="仿宋_GB2312"/>
          <w:sz w:val="28"/>
          <w:szCs w:val="28"/>
        </w:rPr>
        <w:t>依据GB 4789.1-2016《食品安全国家标准 食品微生物学检验 总则》第7.3条规定“检验结果报告后，剩余样品和同批产品不进行微生物项目的复检”和卫健委“卫监督发</w:t>
      </w:r>
      <w:r>
        <w:rPr>
          <w:rFonts w:hint="eastAsia" w:ascii="仿宋_GB2312" w:hAnsi="仿宋_GB2312" w:cs="仿宋_GB2312"/>
          <w:sz w:val="28"/>
          <w:szCs w:val="28"/>
          <w:lang w:eastAsia="zh-CN"/>
        </w:rPr>
        <w:t>〔</w:t>
      </w:r>
      <w:r>
        <w:rPr>
          <w:rFonts w:hint="eastAsia" w:ascii="仿宋_GB2312" w:hAnsi="仿宋_GB2312" w:eastAsia="仿宋_GB2312" w:cs="仿宋_GB2312"/>
          <w:sz w:val="28"/>
          <w:szCs w:val="28"/>
        </w:rPr>
        <w:t>2005</w:t>
      </w:r>
      <w:r>
        <w:rPr>
          <w:rFonts w:hint="eastAsia" w:ascii="仿宋_GB2312" w:hAnsi="仿宋_GB2312" w:cs="仿宋_GB2312"/>
          <w:sz w:val="28"/>
          <w:szCs w:val="28"/>
          <w:lang w:eastAsia="zh-CN"/>
        </w:rPr>
        <w:t>〕</w:t>
      </w:r>
      <w:bookmarkStart w:id="0" w:name="_GoBack"/>
      <w:bookmarkEnd w:id="0"/>
      <w:r>
        <w:rPr>
          <w:rFonts w:hint="eastAsia" w:ascii="仿宋_GB2312" w:hAnsi="仿宋_GB2312" w:eastAsia="仿宋_GB2312" w:cs="仿宋_GB2312"/>
          <w:sz w:val="28"/>
          <w:szCs w:val="28"/>
        </w:rPr>
        <w:t>515号”《健康</w:t>
      </w:r>
      <w:r>
        <w:rPr>
          <w:rFonts w:hint="eastAsia" w:ascii="仿宋_GB2312" w:eastAsia="仿宋_GB2312"/>
          <w:sz w:val="28"/>
          <w:szCs w:val="28"/>
        </w:rPr>
        <w:t>相关产品国家卫生监督抽检规定》第十九条：“产品微生物指标超标的不予复检”的规定，微生物指标不合格不进行复检。</w:t>
      </w:r>
    </w:p>
    <w:p>
      <w:pPr>
        <w:adjustRightInd w:val="0"/>
        <w:snapToGrid w:val="0"/>
        <w:spacing w:line="360" w:lineRule="auto"/>
        <w:ind w:firstLine="548" w:firstLineChars="196"/>
        <w:rPr>
          <w:rFonts w:hint="default" w:ascii="仿宋_GB2312" w:hAnsi="仿宋_GB2312" w:eastAsia="仿宋_GB2312" w:cs="仿宋_GB2312"/>
          <w:sz w:val="28"/>
          <w:szCs w:val="28"/>
          <w:lang w:val="en-US" w:eastAsia="zh-CN"/>
        </w:rPr>
      </w:pPr>
    </w:p>
    <w:p>
      <w:pPr>
        <w:adjustRightInd w:val="0"/>
        <w:snapToGrid w:val="0"/>
        <w:spacing w:line="360" w:lineRule="auto"/>
        <w:ind w:firstLine="548" w:firstLineChars="196"/>
        <w:rPr>
          <w:rFonts w:hint="eastAsia" w:ascii="仿宋_GB2312" w:hAnsi="仿宋_GB2312" w:eastAsia="仿宋_GB2312" w:cs="仿宋_GB2312"/>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
    <w:altName w:val="Segoe Print"/>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方正仿宋简体">
    <w:altName w:val="微软雅黑"/>
    <w:panose1 w:val="00000000000000000000"/>
    <w:charset w:val="86"/>
    <w:family w:val="script"/>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00094B9B"/>
    <w:rsid w:val="000B2A32"/>
    <w:rsid w:val="000B552B"/>
    <w:rsid w:val="00104390"/>
    <w:rsid w:val="001055A8"/>
    <w:rsid w:val="00105BE4"/>
    <w:rsid w:val="00191A0B"/>
    <w:rsid w:val="001B5979"/>
    <w:rsid w:val="00210010"/>
    <w:rsid w:val="0025286B"/>
    <w:rsid w:val="002626C2"/>
    <w:rsid w:val="002A1AB9"/>
    <w:rsid w:val="002D7552"/>
    <w:rsid w:val="002F773D"/>
    <w:rsid w:val="0036614F"/>
    <w:rsid w:val="00407C19"/>
    <w:rsid w:val="00437EF0"/>
    <w:rsid w:val="00444BCE"/>
    <w:rsid w:val="004605CF"/>
    <w:rsid w:val="00492A90"/>
    <w:rsid w:val="00494E5B"/>
    <w:rsid w:val="004F3E30"/>
    <w:rsid w:val="00506993"/>
    <w:rsid w:val="00587804"/>
    <w:rsid w:val="005D2B48"/>
    <w:rsid w:val="006B368C"/>
    <w:rsid w:val="00801504"/>
    <w:rsid w:val="0081763C"/>
    <w:rsid w:val="00880F53"/>
    <w:rsid w:val="00944BDE"/>
    <w:rsid w:val="009921F2"/>
    <w:rsid w:val="009A5BF4"/>
    <w:rsid w:val="00A51F80"/>
    <w:rsid w:val="00A63B7A"/>
    <w:rsid w:val="00A77EFF"/>
    <w:rsid w:val="00A91D33"/>
    <w:rsid w:val="00B559F2"/>
    <w:rsid w:val="00C457F6"/>
    <w:rsid w:val="00C73360"/>
    <w:rsid w:val="00CA58EE"/>
    <w:rsid w:val="00D42E2C"/>
    <w:rsid w:val="00D649CA"/>
    <w:rsid w:val="00DA68AA"/>
    <w:rsid w:val="00DB2556"/>
    <w:rsid w:val="00DE7075"/>
    <w:rsid w:val="00DF0B2C"/>
    <w:rsid w:val="00E26DAA"/>
    <w:rsid w:val="00E33C00"/>
    <w:rsid w:val="00E352FB"/>
    <w:rsid w:val="00E45162"/>
    <w:rsid w:val="00E509C9"/>
    <w:rsid w:val="00EA00A7"/>
    <w:rsid w:val="00F1475D"/>
    <w:rsid w:val="00F73C87"/>
    <w:rsid w:val="00F90030"/>
    <w:rsid w:val="00FF45C2"/>
    <w:rsid w:val="03452F7C"/>
    <w:rsid w:val="074A741F"/>
    <w:rsid w:val="0CA02ADC"/>
    <w:rsid w:val="0F426ED3"/>
    <w:rsid w:val="102E2D65"/>
    <w:rsid w:val="13F77A88"/>
    <w:rsid w:val="14380C21"/>
    <w:rsid w:val="1A353EBD"/>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3F52DB4"/>
    <w:rsid w:val="448418DB"/>
    <w:rsid w:val="456312D4"/>
    <w:rsid w:val="46BF2DC5"/>
    <w:rsid w:val="49D92303"/>
    <w:rsid w:val="4C141C22"/>
    <w:rsid w:val="4D752558"/>
    <w:rsid w:val="4F35250E"/>
    <w:rsid w:val="4F69551E"/>
    <w:rsid w:val="4FB6A14F"/>
    <w:rsid w:val="4FEE18EE"/>
    <w:rsid w:val="54F41CC8"/>
    <w:rsid w:val="57B32CC6"/>
    <w:rsid w:val="58EE0180"/>
    <w:rsid w:val="5D3531A6"/>
    <w:rsid w:val="69C45FA2"/>
    <w:rsid w:val="6BEA0FB4"/>
    <w:rsid w:val="6DCC63C6"/>
    <w:rsid w:val="6E944E75"/>
    <w:rsid w:val="6F4D273F"/>
    <w:rsid w:val="6F9A6976"/>
    <w:rsid w:val="72A44CD7"/>
    <w:rsid w:val="76B401D5"/>
    <w:rsid w:val="7C1945D9"/>
    <w:rsid w:val="7FA51744"/>
    <w:rsid w:val="AECE5562"/>
    <w:rsid w:val="B72B4B0A"/>
    <w:rsid w:val="FFDFAB2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qFormat="1" w:unhideWhenUsed="0" w:uiPriority="99" w:semiHidden="0"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99"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21"/>
      <w:szCs w:val="21"/>
      <w:lang w:val="en-US" w:eastAsia="zh-CN" w:bidi="ar-SA"/>
    </w:rPr>
  </w:style>
  <w:style w:type="paragraph" w:styleId="3">
    <w:name w:val="heading 1"/>
    <w:basedOn w:val="1"/>
    <w:next w:val="1"/>
    <w:qFormat/>
    <w:locked/>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3"/>
    <w:basedOn w:val="1"/>
    <w:next w:val="1"/>
    <w:link w:val="11"/>
    <w:qFormat/>
    <w:uiPriority w:val="99"/>
    <w:pPr>
      <w:spacing w:before="100" w:beforeAutospacing="1" w:after="100" w:afterAutospacing="1"/>
      <w:jc w:val="left"/>
      <w:outlineLvl w:val="2"/>
    </w:pPr>
    <w:rPr>
      <w:rFonts w:ascii="宋体" w:hAnsi="宋体" w:eastAsia="宋体" w:cs="宋体"/>
      <w:b/>
      <w:bCs/>
      <w:kern w:val="0"/>
      <w:sz w:val="27"/>
      <w:szCs w:val="27"/>
    </w:rPr>
  </w:style>
  <w:style w:type="character" w:default="1" w:styleId="9">
    <w:name w:val="Default Paragraph Font"/>
    <w:semiHidden/>
    <w:qFormat/>
    <w:uiPriority w:val="99"/>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List 2"/>
    <w:basedOn w:val="1"/>
    <w:qFormat/>
    <w:uiPriority w:val="99"/>
    <w:pPr>
      <w:ind w:left="100" w:leftChars="200" w:hanging="200" w:hangingChars="200"/>
    </w:pPr>
    <w:rPr>
      <w:rFonts w:eastAsia="宋体"/>
    </w:rPr>
  </w:style>
  <w:style w:type="paragraph" w:styleId="5">
    <w:name w:val="Normal Indent"/>
    <w:basedOn w:val="1"/>
    <w:qFormat/>
    <w:uiPriority w:val="99"/>
    <w:pPr>
      <w:ind w:firstLine="420" w:firstLineChars="200"/>
    </w:pPr>
  </w:style>
  <w:style w:type="paragraph" w:styleId="6">
    <w:name w:val="footer"/>
    <w:basedOn w:val="1"/>
    <w:link w:val="12"/>
    <w:qFormat/>
    <w:uiPriority w:val="99"/>
    <w:pPr>
      <w:tabs>
        <w:tab w:val="center" w:pos="4153"/>
        <w:tab w:val="right" w:pos="8306"/>
      </w:tabs>
      <w:snapToGrid w:val="0"/>
      <w:jc w:val="left"/>
    </w:pPr>
    <w:rPr>
      <w:rFonts w:ascii="??" w:hAnsi="??" w:eastAsia="宋体" w:cs="??"/>
      <w:sz w:val="18"/>
      <w:szCs w:val="18"/>
    </w:rPr>
  </w:style>
  <w:style w:type="paragraph" w:styleId="7">
    <w:name w:val="header"/>
    <w:basedOn w:val="1"/>
    <w:link w:val="13"/>
    <w:qFormat/>
    <w:uiPriority w:val="99"/>
    <w:pPr>
      <w:pBdr>
        <w:bottom w:val="single" w:color="auto" w:sz="6" w:space="1"/>
      </w:pBdr>
      <w:tabs>
        <w:tab w:val="center" w:pos="4153"/>
        <w:tab w:val="right" w:pos="8306"/>
      </w:tabs>
      <w:snapToGrid w:val="0"/>
      <w:jc w:val="center"/>
    </w:pPr>
    <w:rPr>
      <w:rFonts w:ascii="??" w:hAnsi="??" w:eastAsia="宋体" w:cs="??"/>
      <w:sz w:val="18"/>
      <w:szCs w:val="18"/>
    </w:rPr>
  </w:style>
  <w:style w:type="character" w:styleId="10">
    <w:name w:val="Hyperlink"/>
    <w:basedOn w:val="9"/>
    <w:semiHidden/>
    <w:unhideWhenUsed/>
    <w:qFormat/>
    <w:uiPriority w:val="99"/>
    <w:rPr>
      <w:color w:val="0000FF"/>
      <w:u w:val="single"/>
    </w:rPr>
  </w:style>
  <w:style w:type="character" w:customStyle="1" w:styleId="11">
    <w:name w:val="Heading 3 Char"/>
    <w:basedOn w:val="9"/>
    <w:link w:val="4"/>
    <w:semiHidden/>
    <w:qFormat/>
    <w:uiPriority w:val="9"/>
    <w:rPr>
      <w:rFonts w:ascii="Times New Roman" w:hAnsi="Times New Roman" w:eastAsia="仿宋_GB2312"/>
      <w:b/>
      <w:bCs/>
      <w:sz w:val="32"/>
      <w:szCs w:val="32"/>
    </w:rPr>
  </w:style>
  <w:style w:type="character" w:customStyle="1" w:styleId="12">
    <w:name w:val="Footer Char"/>
    <w:basedOn w:val="9"/>
    <w:link w:val="6"/>
    <w:qFormat/>
    <w:locked/>
    <w:uiPriority w:val="99"/>
    <w:rPr>
      <w:sz w:val="18"/>
      <w:szCs w:val="18"/>
    </w:rPr>
  </w:style>
  <w:style w:type="character" w:customStyle="1" w:styleId="13">
    <w:name w:val="Header Char"/>
    <w:basedOn w:val="9"/>
    <w:link w:val="7"/>
    <w:qFormat/>
    <w:locked/>
    <w:uiPriority w:val="99"/>
    <w:rPr>
      <w:sz w:val="18"/>
      <w:szCs w:val="18"/>
    </w:rPr>
  </w:style>
  <w:style w:type="paragraph" w:customStyle="1" w:styleId="14">
    <w:name w:val="_Style 3"/>
    <w:basedOn w:val="1"/>
    <w:qFormat/>
    <w:uiPriority w:val="0"/>
    <w:pPr>
      <w:ind w:firstLine="200" w:firstLineChars="200"/>
    </w:pPr>
    <w:rPr>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TJDN</Company>
  <Pages>8</Pages>
  <Words>3478</Words>
  <Characters>4416</Characters>
  <Lines>0</Lines>
  <Paragraphs>0</Paragraphs>
  <TotalTime>0</TotalTime>
  <ScaleCrop>false</ScaleCrop>
  <LinksUpToDate>false</LinksUpToDate>
  <CharactersWithSpaces>4479</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2021-05-07T23:26:00Z</dcterms:created>
  <dc:creator>Admin</dc:creator>
  <cp:lastModifiedBy>申雅楠</cp:lastModifiedBy>
  <dcterms:modified xsi:type="dcterms:W3CDTF">2023-09-19T01:54:25Z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