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eastAsia="宋体" w:cs="Times New Roman"/>
          <w:b/>
          <w:sz w:val="44"/>
          <w:szCs w:val="44"/>
          <w:lang w:eastAsia="zh-CN"/>
        </w:rPr>
      </w:pPr>
      <w:r>
        <w:rPr>
          <w:rFonts w:hint="eastAsia" w:ascii="宋体" w:hAnsi="宋体"/>
          <w:b/>
          <w:sz w:val="44"/>
          <w:szCs w:val="44"/>
          <w:lang w:eastAsia="zh-CN"/>
        </w:rPr>
        <w:t>2021</w:t>
      </w:r>
      <w:r>
        <w:rPr>
          <w:rFonts w:hint="eastAsia" w:ascii="宋体" w:hAnsi="宋体"/>
          <w:b/>
          <w:sz w:val="44"/>
          <w:szCs w:val="44"/>
        </w:rPr>
        <w:t>年度</w:t>
      </w:r>
      <w:r>
        <w:rPr>
          <w:rFonts w:hint="eastAsia" w:ascii="宋体" w:hAnsi="宋体" w:eastAsia="宋体" w:cs="Times New Roman"/>
          <w:b/>
          <w:sz w:val="44"/>
          <w:szCs w:val="44"/>
          <w:lang w:eastAsia="zh-CN"/>
        </w:rPr>
        <w:t>盘锦市兴隆台区</w:t>
      </w:r>
    </w:p>
    <w:p>
      <w:pPr>
        <w:spacing w:line="540" w:lineRule="exact"/>
        <w:jc w:val="center"/>
        <w:rPr>
          <w:rFonts w:hint="eastAsia" w:ascii="宋体" w:hAnsi="宋体" w:cs="Times New Roman"/>
          <w:b/>
          <w:sz w:val="44"/>
          <w:szCs w:val="44"/>
          <w:lang w:eastAsia="zh-CN"/>
        </w:rPr>
      </w:pPr>
      <w:r>
        <w:rPr>
          <w:rFonts w:hint="eastAsia" w:ascii="宋体" w:hAnsi="宋体" w:eastAsia="宋体" w:cs="Times New Roman"/>
          <w:b/>
          <w:sz w:val="44"/>
          <w:szCs w:val="44"/>
          <w:lang w:eastAsia="zh-CN"/>
        </w:rPr>
        <w:t>文化旅游和广播电视局</w:t>
      </w:r>
      <w:r>
        <w:rPr>
          <w:rFonts w:hint="eastAsia" w:ascii="宋体" w:hAnsi="宋体" w:cs="Times New Roman"/>
          <w:b/>
          <w:sz w:val="44"/>
          <w:szCs w:val="44"/>
          <w:lang w:eastAsia="zh-CN"/>
        </w:rPr>
        <w:t>（本级）</w:t>
      </w:r>
    </w:p>
    <w:p>
      <w:pPr>
        <w:spacing w:line="540" w:lineRule="exact"/>
        <w:jc w:val="center"/>
        <w:rPr>
          <w:rFonts w:hint="eastAsia" w:ascii="宋体" w:hAnsi="宋体"/>
          <w:b/>
          <w:sz w:val="44"/>
          <w:szCs w:val="44"/>
          <w:u w:val="single"/>
        </w:rPr>
      </w:pPr>
      <w:r>
        <w:rPr>
          <w:rFonts w:hint="eastAsia" w:ascii="宋体" w:hAnsi="宋体"/>
          <w:b/>
          <w:sz w:val="44"/>
          <w:szCs w:val="44"/>
        </w:rPr>
        <w:t>部门决算公开</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both"/>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lang w:eastAsia="zh-CN"/>
        </w:rPr>
      </w:pPr>
      <w:r>
        <w:rPr>
          <w:rFonts w:hint="eastAsia" w:ascii="宋体" w:hAnsi="宋体"/>
          <w:b/>
          <w:sz w:val="52"/>
          <w:szCs w:val="52"/>
        </w:rPr>
        <w:t>盘锦市</w:t>
      </w:r>
      <w:r>
        <w:rPr>
          <w:rFonts w:hint="eastAsia" w:ascii="宋体" w:hAnsi="宋体"/>
          <w:b/>
          <w:sz w:val="52"/>
          <w:szCs w:val="52"/>
          <w:lang w:eastAsia="zh-CN"/>
        </w:rPr>
        <w:t>兴隆台区</w:t>
      </w:r>
    </w:p>
    <w:p>
      <w:pPr>
        <w:spacing w:line="540" w:lineRule="exact"/>
        <w:jc w:val="center"/>
        <w:rPr>
          <w:rFonts w:hint="eastAsia" w:ascii="宋体" w:hAnsi="宋体" w:eastAsia="宋体" w:cs="Times New Roman"/>
          <w:b/>
          <w:sz w:val="52"/>
          <w:szCs w:val="52"/>
          <w:lang w:eastAsia="zh-CN"/>
        </w:rPr>
      </w:pPr>
      <w:r>
        <w:rPr>
          <w:rFonts w:hint="eastAsia" w:ascii="宋体" w:hAnsi="宋体"/>
          <w:b/>
          <w:sz w:val="52"/>
          <w:szCs w:val="52"/>
          <w:lang w:eastAsia="zh-CN"/>
        </w:rPr>
        <w:t>文化旅游和广播电视</w:t>
      </w:r>
      <w:r>
        <w:rPr>
          <w:rFonts w:hint="eastAsia" w:ascii="宋体" w:hAnsi="宋体"/>
          <w:b/>
          <w:sz w:val="52"/>
          <w:szCs w:val="52"/>
        </w:rPr>
        <w:t>局</w:t>
      </w:r>
      <w:r>
        <w:rPr>
          <w:rFonts w:hint="eastAsia" w:ascii="宋体" w:hAnsi="宋体"/>
          <w:b/>
          <w:sz w:val="52"/>
          <w:szCs w:val="52"/>
          <w:lang w:val="en-US" w:eastAsia="zh-CN"/>
        </w:rPr>
        <w:t xml:space="preserve"> （本级）</w:t>
      </w:r>
    </w:p>
    <w:p>
      <w:pPr>
        <w:spacing w:line="540" w:lineRule="exact"/>
        <w:jc w:val="center"/>
        <w:rPr>
          <w:rFonts w:hint="eastAsia"/>
          <w:b/>
          <w:sz w:val="44"/>
          <w:szCs w:val="44"/>
          <w:u w:val="single"/>
        </w:rPr>
      </w:pPr>
      <w:r>
        <w:rPr>
          <w:rFonts w:hint="eastAsia" w:ascii="宋体" w:hAnsi="宋体"/>
          <w:b/>
          <w:sz w:val="52"/>
          <w:szCs w:val="52"/>
          <w:lang w:eastAsia="zh-CN"/>
        </w:rPr>
        <w:t>2021</w:t>
      </w:r>
      <w:r>
        <w:rPr>
          <w:rFonts w:hint="eastAsia" w:ascii="宋体" w:hAnsi="宋体"/>
          <w:b/>
          <w:sz w:val="52"/>
          <w:szCs w:val="52"/>
        </w:rPr>
        <w:t>年度部门决算</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r>
        <w:rPr>
          <w:rFonts w:hint="eastAsia"/>
          <w:b/>
          <w:sz w:val="44"/>
          <w:szCs w:val="44"/>
        </w:rPr>
        <w:t>目    录</w:t>
      </w:r>
    </w:p>
    <w:p>
      <w:pPr>
        <w:spacing w:line="540" w:lineRule="exact"/>
        <w:jc w:val="center"/>
        <w:rPr>
          <w:rFonts w:hint="eastAsia"/>
          <w:b/>
          <w:sz w:val="44"/>
          <w:szCs w:val="44"/>
        </w:rPr>
      </w:pPr>
    </w:p>
    <w:p>
      <w:pPr>
        <w:spacing w:line="540" w:lineRule="exact"/>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sz w:val="32"/>
          <w:szCs w:val="32"/>
          <w:lang w:val="en-US" w:eastAsia="zh-CN"/>
        </w:rPr>
        <w:t>兴隆台区文化旅游和广播电视局（本级）</w:t>
      </w:r>
      <w:r>
        <w:rPr>
          <w:rFonts w:hint="eastAsia" w:ascii="黑体" w:hAnsi="黑体" w:eastAsia="黑体"/>
          <w:sz w:val="32"/>
          <w:szCs w:val="32"/>
          <w:lang w:eastAsia="zh-CN"/>
        </w:rPr>
        <w:t>部门</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ind w:left="1280" w:hanging="1280" w:hangingChars="400"/>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部分    盘锦市</w:t>
      </w:r>
      <w:r>
        <w:rPr>
          <w:rFonts w:hint="eastAsia" w:ascii="黑体" w:hAnsi="黑体" w:eastAsia="黑体"/>
          <w:sz w:val="32"/>
          <w:szCs w:val="32"/>
          <w:lang w:val="en-US" w:eastAsia="zh-CN"/>
        </w:rPr>
        <w:t>兴隆台区文化旅游和广播电视局（本级）</w:t>
      </w:r>
      <w:r>
        <w:rPr>
          <w:rFonts w:hint="eastAsia" w:ascii="黑体" w:hAnsi="黑体" w:eastAsia="黑体"/>
          <w:sz w:val="32"/>
          <w:szCs w:val="32"/>
          <w:lang w:eastAsia="zh-CN"/>
        </w:rPr>
        <w:t>2021</w:t>
      </w:r>
      <w:r>
        <w:rPr>
          <w:rFonts w:hint="eastAsia" w:ascii="黑体" w:hAnsi="黑体" w:eastAsia="黑体"/>
          <w:sz w:val="32"/>
          <w:szCs w:val="32"/>
        </w:rPr>
        <w:t>年度部门决算情况说明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盘锦市</w:t>
      </w:r>
      <w:r>
        <w:rPr>
          <w:rFonts w:hint="eastAsia" w:ascii="黑体" w:hAnsi="黑体" w:eastAsia="黑体"/>
          <w:sz w:val="32"/>
          <w:szCs w:val="32"/>
          <w:lang w:val="en-US" w:eastAsia="zh-CN"/>
        </w:rPr>
        <w:t>兴隆台区文化旅游和广播电视局（本级）</w:t>
      </w:r>
      <w:r>
        <w:rPr>
          <w:rFonts w:hint="eastAsia" w:ascii="黑体" w:hAnsi="黑体" w:eastAsia="黑体"/>
          <w:sz w:val="32"/>
          <w:szCs w:val="32"/>
          <w:lang w:eastAsia="zh-CN"/>
        </w:rPr>
        <w:t>2021</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w:t>
      </w:r>
      <w:r>
        <w:rPr>
          <w:rFonts w:hint="eastAsia" w:ascii="仿宋_GB2312" w:hAnsi="仿宋" w:eastAsia="仿宋_GB2312"/>
          <w:sz w:val="32"/>
          <w:szCs w:val="32"/>
          <w:lang w:eastAsia="zh-CN"/>
        </w:rPr>
        <w:t>总</w:t>
      </w:r>
      <w:r>
        <w:rPr>
          <w:rFonts w:hint="eastAsia" w:ascii="仿宋_GB2312" w:hAnsi="仿宋" w:eastAsia="仿宋_GB2312"/>
          <w:sz w:val="32"/>
          <w:szCs w:val="32"/>
        </w:rPr>
        <w:t>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jc w:val="center"/>
        <w:rPr>
          <w:rFonts w:hint="eastAsia" w:ascii="宋体" w:hAnsi="宋体"/>
          <w:b/>
          <w:sz w:val="36"/>
          <w:szCs w:val="36"/>
        </w:rPr>
      </w:pPr>
      <w:r>
        <w:rPr>
          <w:rFonts w:hint="eastAsia" w:ascii="宋体" w:hAnsi="宋体"/>
          <w:b/>
          <w:sz w:val="36"/>
          <w:szCs w:val="36"/>
        </w:rPr>
        <w:t>第一部分</w:t>
      </w:r>
    </w:p>
    <w:p>
      <w:pPr>
        <w:spacing w:line="540" w:lineRule="exact"/>
        <w:jc w:val="center"/>
        <w:rPr>
          <w:rFonts w:hint="eastAsia" w:ascii="宋体" w:hAnsi="宋体" w:eastAsia="宋体" w:cs="Times New Roman"/>
          <w:b/>
          <w:sz w:val="36"/>
          <w:szCs w:val="36"/>
          <w:lang w:val="en-US" w:eastAsia="zh-CN"/>
        </w:rPr>
      </w:pPr>
      <w:r>
        <w:rPr>
          <w:rFonts w:hint="eastAsia" w:ascii="宋体" w:hAnsi="宋体" w:eastAsia="宋体" w:cs="Times New Roman"/>
          <w:b/>
          <w:sz w:val="36"/>
          <w:szCs w:val="36"/>
          <w:lang w:eastAsia="zh-CN"/>
        </w:rPr>
        <w:t>盘锦市兴隆台区</w:t>
      </w:r>
      <w:r>
        <w:rPr>
          <w:rFonts w:hint="eastAsia" w:ascii="宋体" w:hAnsi="宋体" w:eastAsia="宋体" w:cs="Times New Roman"/>
          <w:b/>
          <w:sz w:val="36"/>
          <w:szCs w:val="36"/>
          <w:lang w:val="en-US" w:eastAsia="zh-CN"/>
        </w:rPr>
        <w:t>文化旅游和广播电视局（本级）</w:t>
      </w:r>
    </w:p>
    <w:p>
      <w:pPr>
        <w:spacing w:line="540" w:lineRule="exact"/>
        <w:jc w:val="center"/>
        <w:rPr>
          <w:rFonts w:hint="eastAsia" w:ascii="黑体" w:eastAsia="黑体"/>
          <w:sz w:val="32"/>
          <w:szCs w:val="32"/>
        </w:rPr>
      </w:pPr>
      <w:r>
        <w:rPr>
          <w:rFonts w:hint="eastAsia" w:ascii="宋体" w:hAnsi="宋体"/>
          <w:b/>
          <w:sz w:val="36"/>
          <w:szCs w:val="36"/>
          <w:lang w:eastAsia="zh-CN"/>
        </w:rPr>
        <w:t>部门</w:t>
      </w:r>
      <w:r>
        <w:rPr>
          <w:rFonts w:hint="eastAsia" w:ascii="宋体" w:hAnsi="宋体"/>
          <w:b/>
          <w:sz w:val="36"/>
          <w:szCs w:val="36"/>
        </w:rPr>
        <w:t>概况</w:t>
      </w:r>
    </w:p>
    <w:p>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主要职责</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兴隆台区</w:t>
      </w:r>
      <w:r>
        <w:rPr>
          <w:rFonts w:hint="eastAsia" w:ascii="宋体" w:hAnsi="宋体" w:eastAsia="宋体" w:cs="宋体"/>
          <w:sz w:val="32"/>
          <w:szCs w:val="32"/>
          <w:lang w:eastAsia="zh-CN"/>
        </w:rPr>
        <w:t>文化旅游和广播电视</w:t>
      </w:r>
      <w:r>
        <w:rPr>
          <w:rFonts w:hint="eastAsia" w:ascii="宋体" w:hAnsi="宋体" w:eastAsia="宋体" w:cs="宋体"/>
          <w:sz w:val="32"/>
          <w:szCs w:val="32"/>
        </w:rPr>
        <w:t>局，负责全区的文化、体育、</w:t>
      </w:r>
      <w:r>
        <w:rPr>
          <w:rFonts w:hint="eastAsia" w:ascii="宋体" w:hAnsi="宋体" w:eastAsia="宋体" w:cs="宋体"/>
          <w:sz w:val="32"/>
          <w:szCs w:val="32"/>
          <w:lang w:eastAsia="zh-CN"/>
        </w:rPr>
        <w:t>旅游、文物、广播等</w:t>
      </w:r>
      <w:r>
        <w:rPr>
          <w:rFonts w:hint="eastAsia" w:ascii="宋体" w:hAnsi="宋体" w:eastAsia="宋体" w:cs="宋体"/>
          <w:sz w:val="32"/>
          <w:szCs w:val="32"/>
        </w:rPr>
        <w:t>行政管理工作。</w:t>
      </w:r>
    </w:p>
    <w:p>
      <w:pPr>
        <w:spacing w:line="600" w:lineRule="exact"/>
        <w:ind w:firstLine="640" w:firstLineChars="200"/>
        <w:rPr>
          <w:rFonts w:hint="eastAsia" w:eastAsia="仿宋_GB2312"/>
          <w:sz w:val="32"/>
          <w:szCs w:val="32"/>
        </w:rPr>
      </w:pPr>
      <w:r>
        <w:rPr>
          <w:rFonts w:hint="eastAsia" w:eastAsia="仿宋_GB2312"/>
          <w:sz w:val="32"/>
          <w:szCs w:val="32"/>
        </w:rPr>
        <w:t>（一）</w:t>
      </w:r>
      <w:r>
        <w:rPr>
          <w:rFonts w:eastAsia="仿宋_GB2312"/>
          <w:sz w:val="32"/>
          <w:szCs w:val="32"/>
        </w:rPr>
        <w:t>贯彻落实</w:t>
      </w:r>
      <w:r>
        <w:rPr>
          <w:rFonts w:hint="eastAsia" w:eastAsia="仿宋_GB2312"/>
          <w:sz w:val="32"/>
          <w:szCs w:val="32"/>
        </w:rPr>
        <w:t>党中央、国务院</w:t>
      </w:r>
      <w:r>
        <w:rPr>
          <w:rFonts w:hint="eastAsia" w:eastAsia="仿宋_GB2312"/>
          <w:sz w:val="32"/>
          <w:szCs w:val="32"/>
          <w:lang w:eastAsia="zh-CN"/>
        </w:rPr>
        <w:t>，</w:t>
      </w:r>
      <w:r>
        <w:rPr>
          <w:rFonts w:hint="eastAsia" w:eastAsia="仿宋_GB2312"/>
          <w:sz w:val="32"/>
          <w:szCs w:val="32"/>
        </w:rPr>
        <w:t>省委、省政府</w:t>
      </w:r>
      <w:r>
        <w:rPr>
          <w:rFonts w:hint="eastAsia" w:eastAsia="仿宋_GB2312"/>
          <w:sz w:val="32"/>
          <w:szCs w:val="32"/>
          <w:lang w:eastAsia="zh-CN"/>
        </w:rPr>
        <w:t>，</w:t>
      </w:r>
      <w:r>
        <w:rPr>
          <w:rFonts w:hint="eastAsia" w:eastAsia="仿宋_GB2312"/>
          <w:sz w:val="32"/>
          <w:szCs w:val="32"/>
        </w:rPr>
        <w:t>市委、市政府有关文化、文物及旅游、体育、广播电视工作的方针政策和法律法规，研究拟订全区文化、文物及旅游、体育、广播电视相关规范性文件及规章制度。</w:t>
      </w:r>
    </w:p>
    <w:p>
      <w:pPr>
        <w:spacing w:line="600" w:lineRule="exact"/>
        <w:ind w:firstLine="640" w:firstLineChars="200"/>
        <w:rPr>
          <w:rFonts w:hint="eastAsia" w:eastAsia="仿宋_GB2312"/>
          <w:sz w:val="32"/>
          <w:szCs w:val="32"/>
        </w:rPr>
      </w:pPr>
      <w:r>
        <w:rPr>
          <w:rFonts w:hint="eastAsia" w:eastAsia="仿宋_GB2312"/>
          <w:sz w:val="32"/>
          <w:szCs w:val="32"/>
        </w:rPr>
        <w:t>（二）拟定全区文化、旅游、广播电视、体育事业和产业发展规划并组织实施。推进文化、旅游、体育、广播电视融合发展，推进体制机制改革。</w:t>
      </w:r>
    </w:p>
    <w:p>
      <w:pPr>
        <w:spacing w:line="600" w:lineRule="exact"/>
        <w:ind w:firstLine="640" w:firstLineChars="200"/>
        <w:rPr>
          <w:rFonts w:hint="eastAsia" w:eastAsia="仿宋_GB2312"/>
          <w:sz w:val="32"/>
          <w:szCs w:val="32"/>
        </w:rPr>
      </w:pPr>
      <w:r>
        <w:rPr>
          <w:rFonts w:hint="eastAsia" w:eastAsia="仿宋_GB2312"/>
          <w:sz w:val="32"/>
          <w:szCs w:val="32"/>
        </w:rPr>
        <w:t>（三）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w:t>
      </w:r>
    </w:p>
    <w:p>
      <w:pPr>
        <w:spacing w:line="600" w:lineRule="exact"/>
        <w:ind w:firstLine="640" w:firstLineChars="200"/>
        <w:rPr>
          <w:rFonts w:hint="eastAsia" w:eastAsia="仿宋_GB2312"/>
          <w:sz w:val="32"/>
          <w:szCs w:val="32"/>
        </w:rPr>
      </w:pPr>
      <w:r>
        <w:rPr>
          <w:rFonts w:hint="eastAsia" w:eastAsia="仿宋_GB2312"/>
          <w:sz w:val="32"/>
          <w:szCs w:val="32"/>
        </w:rPr>
        <w:t>（四）指导、管理全区文艺事业，指导艺术创作生产，扶持体现社会主义核心价值观、具有导向性代表性示范性的文艺作品，推动各门类艺术、各艺术品种发展。</w:t>
      </w:r>
    </w:p>
    <w:p>
      <w:pPr>
        <w:spacing w:line="600" w:lineRule="exact"/>
        <w:ind w:firstLine="640" w:firstLineChars="200"/>
        <w:rPr>
          <w:rFonts w:hint="eastAsia" w:eastAsia="仿宋_GB2312"/>
          <w:sz w:val="32"/>
          <w:szCs w:val="32"/>
        </w:rPr>
      </w:pPr>
      <w:r>
        <w:rPr>
          <w:rFonts w:hint="eastAsia" w:eastAsia="仿宋_GB2312"/>
          <w:sz w:val="32"/>
          <w:szCs w:val="32"/>
        </w:rPr>
        <w:t>（五）推进文化、旅游、体育、广播电视服务体系建设，深入实施惠民工程，推进服务标准化、均等化。</w:t>
      </w:r>
    </w:p>
    <w:p>
      <w:pPr>
        <w:spacing w:line="600" w:lineRule="exact"/>
        <w:ind w:firstLine="640" w:firstLineChars="200"/>
        <w:rPr>
          <w:rFonts w:hint="eastAsia" w:eastAsia="仿宋_GB2312"/>
          <w:sz w:val="32"/>
          <w:szCs w:val="32"/>
        </w:rPr>
      </w:pPr>
      <w:r>
        <w:rPr>
          <w:rFonts w:hint="eastAsia" w:eastAsia="仿宋_GB2312"/>
          <w:sz w:val="32"/>
          <w:szCs w:val="32"/>
        </w:rPr>
        <w:t>（六）指导、推进全区文化、旅游、体育、广播电视科技创新发展，推进行业信息化、标准化建设，负责行业信息收集与发布工作。</w:t>
      </w:r>
    </w:p>
    <w:p>
      <w:pPr>
        <w:spacing w:line="600" w:lineRule="exact"/>
        <w:ind w:firstLine="640" w:firstLineChars="200"/>
        <w:rPr>
          <w:rFonts w:hint="eastAsia" w:eastAsia="仿宋_GB2312"/>
          <w:sz w:val="32"/>
          <w:szCs w:val="32"/>
        </w:rPr>
      </w:pPr>
      <w:r>
        <w:rPr>
          <w:rFonts w:hint="eastAsia" w:eastAsia="仿宋_GB2312"/>
          <w:sz w:val="32"/>
          <w:szCs w:val="32"/>
        </w:rPr>
        <w:t>（七）负责全区非物质文化遗产保护，推动非物质文化遗产的保护、传承、普及、弘扬和振兴。</w:t>
      </w:r>
    </w:p>
    <w:p>
      <w:pPr>
        <w:spacing w:line="600" w:lineRule="exact"/>
        <w:ind w:firstLine="640" w:firstLineChars="200"/>
        <w:rPr>
          <w:rFonts w:hint="eastAsia" w:eastAsia="仿宋_GB2312"/>
          <w:sz w:val="32"/>
          <w:szCs w:val="32"/>
        </w:rPr>
      </w:pPr>
      <w:r>
        <w:rPr>
          <w:rFonts w:hint="eastAsia" w:eastAsia="仿宋_GB2312"/>
          <w:sz w:val="32"/>
          <w:szCs w:val="32"/>
        </w:rPr>
        <w:t>（八）负责指导、协调全区不可移动文物（包括附属文物）的管理、保护、抢救、研究及勘探发掘等工作。负责指导、协调全区博物馆收藏、研究、展示等工作，负责可移动文物及社会文物管理保护等工作。</w:t>
      </w:r>
    </w:p>
    <w:p>
      <w:pPr>
        <w:spacing w:line="600" w:lineRule="exact"/>
        <w:ind w:firstLine="640" w:firstLineChars="200"/>
        <w:rPr>
          <w:rFonts w:hint="eastAsia" w:eastAsia="仿宋_GB2312"/>
          <w:sz w:val="32"/>
          <w:szCs w:val="32"/>
        </w:rPr>
      </w:pPr>
      <w:r>
        <w:rPr>
          <w:rFonts w:hint="eastAsia" w:eastAsia="仿宋_GB2312"/>
          <w:sz w:val="32"/>
          <w:szCs w:val="32"/>
        </w:rPr>
        <w:t>（九）组织实施文化、旅游、体育和广播电视资源普查、挖掘、保护和利用工作，促进产业发展。</w:t>
      </w:r>
    </w:p>
    <w:p>
      <w:pPr>
        <w:spacing w:line="600" w:lineRule="exact"/>
        <w:ind w:firstLine="640" w:firstLineChars="200"/>
        <w:rPr>
          <w:rFonts w:hint="eastAsia" w:eastAsia="仿宋_GB2312"/>
          <w:sz w:val="32"/>
          <w:szCs w:val="32"/>
        </w:rPr>
      </w:pPr>
      <w:r>
        <w:rPr>
          <w:rFonts w:hint="eastAsia" w:eastAsia="仿宋_GB2312"/>
          <w:sz w:val="32"/>
          <w:szCs w:val="32"/>
        </w:rPr>
        <w:t>（十）指导全区文化、旅游、体育、广播电视市场发展，对相关市场经营进行行业监管，推进行业信用体系建设，依法规范文化、旅游、体育和广播电视市场。</w:t>
      </w:r>
    </w:p>
    <w:p>
      <w:pPr>
        <w:spacing w:line="600" w:lineRule="exact"/>
        <w:ind w:firstLine="640" w:firstLineChars="200"/>
        <w:rPr>
          <w:rFonts w:hint="eastAsia" w:eastAsia="仿宋_GB2312"/>
          <w:sz w:val="32"/>
          <w:szCs w:val="32"/>
        </w:rPr>
      </w:pPr>
      <w:r>
        <w:rPr>
          <w:rFonts w:hint="eastAsia" w:eastAsia="仿宋_GB2312"/>
          <w:sz w:val="32"/>
          <w:szCs w:val="32"/>
        </w:rPr>
        <w:t>（十一）负责推进广播电视与新媒体新技术业态融合发展，推进广电网与电信网、互联网三网融合。指导电视剧行业发展和电视剧创作生产。依法负责广播电视统计工作。</w:t>
      </w:r>
    </w:p>
    <w:p>
      <w:pPr>
        <w:spacing w:line="600" w:lineRule="exact"/>
        <w:ind w:firstLine="640" w:firstLineChars="200"/>
        <w:rPr>
          <w:rFonts w:hint="eastAsia" w:eastAsia="仿宋_GB2312"/>
          <w:sz w:val="32"/>
          <w:szCs w:val="32"/>
        </w:rPr>
      </w:pPr>
      <w:r>
        <w:rPr>
          <w:rFonts w:hint="eastAsia" w:eastAsia="仿宋_GB2312"/>
          <w:sz w:val="32"/>
          <w:szCs w:val="32"/>
        </w:rPr>
        <w:t>（十二）组织制定广播电视科技发展规划并组织实施。负责对广播电视节目传输覆盖、监测和安全播出进行监管，指导、推进应急广播体系建设。加强广播电视阵地管理，指导、协调广播电视重大宣传活动，把握正确的舆论导向。</w:t>
      </w:r>
    </w:p>
    <w:p>
      <w:pPr>
        <w:spacing w:line="600" w:lineRule="exact"/>
        <w:ind w:firstLine="640" w:firstLineChars="200"/>
        <w:rPr>
          <w:rFonts w:hint="eastAsia" w:eastAsia="仿宋_GB2312"/>
          <w:sz w:val="32"/>
          <w:szCs w:val="32"/>
        </w:rPr>
      </w:pPr>
      <w:r>
        <w:rPr>
          <w:rFonts w:hint="eastAsia" w:eastAsia="仿宋_GB2312"/>
          <w:sz w:val="32"/>
          <w:szCs w:val="32"/>
        </w:rPr>
        <w:t>（十三）推行全民健身计划，指导并开展群众性体育活动，推动国家体育锻炼标准的实施，开展国民体质监测。</w:t>
      </w:r>
    </w:p>
    <w:p>
      <w:pPr>
        <w:spacing w:line="600" w:lineRule="exact"/>
        <w:ind w:firstLine="640" w:firstLineChars="200"/>
        <w:rPr>
          <w:rFonts w:hint="eastAsia" w:eastAsia="仿宋_GB2312"/>
          <w:sz w:val="32"/>
          <w:szCs w:val="32"/>
        </w:rPr>
      </w:pPr>
      <w:r>
        <w:rPr>
          <w:rFonts w:hint="eastAsia" w:eastAsia="仿宋_GB2312"/>
          <w:sz w:val="32"/>
          <w:szCs w:val="32"/>
        </w:rPr>
        <w:t>（十四）统筹规划竞技体育发展，指导全区体育运动项目的设置与布局，组织全区综合性体育竞赛，组织参加国际性、全国性</w:t>
      </w:r>
      <w:r>
        <w:rPr>
          <w:rFonts w:hint="eastAsia" w:eastAsia="仿宋_GB2312"/>
          <w:color w:val="FF0000"/>
          <w:sz w:val="32"/>
          <w:szCs w:val="32"/>
        </w:rPr>
        <w:t>、</w:t>
      </w:r>
      <w:r>
        <w:rPr>
          <w:rFonts w:hint="eastAsia" w:eastAsia="仿宋_GB2312"/>
          <w:sz w:val="32"/>
          <w:szCs w:val="32"/>
        </w:rPr>
        <w:t>全省性和全市性重大体育比赛工作。统筹规划青少年体育发展，指导和推进青少年体育工作，指导运动员的文化教育和保障工作。</w:t>
      </w:r>
    </w:p>
    <w:p>
      <w:pPr>
        <w:spacing w:line="600" w:lineRule="exact"/>
        <w:ind w:firstLine="640" w:firstLineChars="200"/>
        <w:rPr>
          <w:rFonts w:hint="eastAsia" w:eastAsia="仿宋_GB2312"/>
          <w:sz w:val="32"/>
          <w:szCs w:val="32"/>
        </w:rPr>
      </w:pPr>
      <w:r>
        <w:rPr>
          <w:rFonts w:hint="eastAsia" w:eastAsia="仿宋_GB2312"/>
          <w:sz w:val="32"/>
          <w:szCs w:val="32"/>
        </w:rPr>
        <w:t>（十五）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w:t>
      </w:r>
    </w:p>
    <w:p>
      <w:pPr>
        <w:spacing w:line="600" w:lineRule="exact"/>
        <w:ind w:firstLine="640" w:firstLineChars="200"/>
        <w:rPr>
          <w:rFonts w:hint="eastAsia" w:eastAsia="仿宋_GB2312"/>
          <w:sz w:val="32"/>
          <w:szCs w:val="32"/>
        </w:rPr>
      </w:pPr>
      <w:r>
        <w:rPr>
          <w:rFonts w:hint="eastAsia" w:eastAsia="仿宋_GB2312"/>
          <w:sz w:val="32"/>
          <w:szCs w:val="32"/>
        </w:rPr>
        <w:t>（十六）指导、管理全区文化、旅游、体育和广播电视对外及对港澳台交流、合作和宣传、推广工作，组织开展相关交流活动。</w:t>
      </w:r>
    </w:p>
    <w:p>
      <w:pPr>
        <w:spacing w:line="600" w:lineRule="exact"/>
        <w:ind w:firstLine="640" w:firstLineChars="200"/>
        <w:rPr>
          <w:rFonts w:hint="eastAsia" w:eastAsia="仿宋_GB2312"/>
          <w:sz w:val="32"/>
          <w:szCs w:val="32"/>
        </w:rPr>
      </w:pPr>
      <w:r>
        <w:rPr>
          <w:rFonts w:hint="eastAsia" w:eastAsia="仿宋_GB2312"/>
          <w:sz w:val="32"/>
          <w:szCs w:val="32"/>
        </w:rPr>
        <w:t>（十七）负责会同有关部门研究和提出鼓励文化艺术和文博事业领域专业人才多出成果、多出精品的意见，负责联系本系统优秀人才，为他们创造良好的工作条件。</w:t>
      </w:r>
    </w:p>
    <w:p>
      <w:pPr>
        <w:spacing w:line="600" w:lineRule="exact"/>
        <w:ind w:firstLine="640" w:firstLineChars="200"/>
        <w:rPr>
          <w:rFonts w:hint="eastAsia" w:eastAsia="仿宋_GB2312"/>
          <w:sz w:val="32"/>
          <w:szCs w:val="32"/>
        </w:rPr>
      </w:pPr>
      <w:r>
        <w:rPr>
          <w:rFonts w:hint="eastAsia" w:eastAsia="仿宋_GB2312"/>
          <w:sz w:val="32"/>
          <w:szCs w:val="32"/>
        </w:rPr>
        <w:t>（十八）完成区委、区政府交办的其他任务。</w:t>
      </w:r>
    </w:p>
    <w:p>
      <w:pPr>
        <w:spacing w:line="600" w:lineRule="exact"/>
        <w:ind w:firstLine="640" w:firstLineChars="200"/>
        <w:rPr>
          <w:rFonts w:hint="eastAsia" w:eastAsia="仿宋_GB2312"/>
          <w:sz w:val="32"/>
          <w:szCs w:val="32"/>
        </w:rPr>
      </w:pPr>
      <w:r>
        <w:rPr>
          <w:rFonts w:hint="eastAsia" w:eastAsia="仿宋_GB2312"/>
          <w:sz w:val="32"/>
          <w:szCs w:val="32"/>
        </w:rPr>
        <w:t>（十九）职能转变。加强组织推进广播电视领域公共服务，大力促进城乡公共服务一体化发展，促进广播电视事业繁荣发展。加强指导、协调、推动广播电视产业发展，优化配置广播电视资源，加强业态整合，促进综合集成发展。加强推进广播电视领域体制机制改革。加强对网络视听节目服务、公共视听载体播放广播电视节目的规划指导和监督管理，推动协调其健康发展。加强广播电视国际传播能力建设，协调推动广播电视走出去工作。加强管理理念和方式的创新转变，充分发挥市场调节、社会监督和行业自律作用。</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hint="eastAsia" w:ascii="仿宋_GB2312" w:eastAsia="仿宋_GB2312"/>
          <w:b/>
          <w:sz w:val="32"/>
          <w:szCs w:val="32"/>
        </w:rPr>
      </w:pPr>
      <w:r>
        <w:rPr>
          <w:rFonts w:hint="eastAsia" w:ascii="仿宋_GB2312" w:hAnsi="Times New Roman" w:eastAsia="仿宋_GB2312" w:cs="Times New Roman"/>
          <w:b/>
          <w:sz w:val="32"/>
          <w:szCs w:val="32"/>
          <w:lang w:eastAsia="zh-CN"/>
        </w:rPr>
        <w:t>兴隆台区文化旅游和广播电视局</w:t>
      </w:r>
      <w:r>
        <w:rPr>
          <w:rFonts w:hint="eastAsia" w:ascii="仿宋_GB2312" w:hAnsi="Times New Roman" w:eastAsia="仿宋_GB2312" w:cs="Times New Roman"/>
          <w:b/>
          <w:sz w:val="32"/>
          <w:szCs w:val="32"/>
          <w:lang w:val="en-US" w:eastAsia="zh-CN"/>
        </w:rPr>
        <w:t>（本级）</w:t>
      </w:r>
      <w:r>
        <w:rPr>
          <w:rFonts w:hint="eastAsia" w:ascii="仿宋_GB2312" w:eastAsia="仿宋_GB2312"/>
          <w:b/>
          <w:sz w:val="32"/>
          <w:szCs w:val="32"/>
          <w:lang w:eastAsia="zh-CN"/>
        </w:rPr>
        <w:t>2021</w:t>
      </w:r>
      <w:r>
        <w:rPr>
          <w:rFonts w:hint="eastAsia" w:ascii="仿宋_GB2312" w:eastAsia="仿宋_GB2312"/>
          <w:b/>
          <w:sz w:val="32"/>
          <w:szCs w:val="32"/>
        </w:rPr>
        <w:t>年部门决算编制范围的二级预算单位包括：</w:t>
      </w:r>
    </w:p>
    <w:p>
      <w:pPr>
        <w:numPr>
          <w:ilvl w:val="0"/>
          <w:numId w:val="0"/>
        </w:numPr>
        <w:ind w:firstLine="640" w:firstLineChars="200"/>
        <w:jc w:val="left"/>
        <w:rPr>
          <w:rFonts w:hint="eastAsia" w:ascii="仿宋" w:hAnsi="仿宋" w:eastAsia="仿宋"/>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盘锦市兴隆台区文化和旅游发展服务中心</w:t>
      </w:r>
    </w:p>
    <w:p>
      <w:pPr>
        <w:spacing w:line="540" w:lineRule="exact"/>
        <w:ind w:firstLine="640" w:firstLineChars="200"/>
        <w:jc w:val="center"/>
        <w:rPr>
          <w:rFonts w:hint="eastAsia" w:ascii="宋体" w:hAnsi="宋体" w:eastAsia="宋体" w:cs="Times New Roman"/>
          <w:b/>
          <w:sz w:val="36"/>
          <w:szCs w:val="36"/>
          <w:lang w:eastAsia="zh-CN"/>
        </w:rPr>
      </w:pPr>
      <w:r>
        <w:rPr>
          <w:rFonts w:ascii="仿宋_GB2312" w:eastAsia="仿宋_GB2312"/>
          <w:sz w:val="32"/>
          <w:szCs w:val="32"/>
        </w:rP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eastAsia="宋体" w:cs="Times New Roman"/>
          <w:b/>
          <w:sz w:val="36"/>
          <w:szCs w:val="36"/>
          <w:lang w:eastAsia="zh-CN"/>
        </w:rPr>
        <w:t>兴隆台区文化旅游和广播电视局</w:t>
      </w:r>
      <w:r>
        <w:rPr>
          <w:rFonts w:hint="eastAsia" w:ascii="宋体" w:hAnsi="宋体" w:eastAsia="宋体" w:cs="Times New Roman"/>
          <w:b/>
          <w:sz w:val="36"/>
          <w:szCs w:val="36"/>
          <w:lang w:val="en-US" w:eastAsia="zh-CN"/>
        </w:rPr>
        <w:t>（本级）</w:t>
      </w:r>
    </w:p>
    <w:p>
      <w:pPr>
        <w:spacing w:line="540" w:lineRule="exact"/>
        <w:ind w:firstLine="723" w:firstLineChars="200"/>
        <w:jc w:val="center"/>
        <w:rPr>
          <w:rFonts w:hint="eastAsia" w:ascii="宋体" w:hAnsi="宋体"/>
          <w:b/>
          <w:sz w:val="36"/>
          <w:szCs w:val="36"/>
        </w:rPr>
      </w:pPr>
      <w:r>
        <w:rPr>
          <w:rFonts w:hint="eastAsia" w:ascii="宋体" w:hAnsi="宋体"/>
          <w:b/>
          <w:sz w:val="36"/>
          <w:szCs w:val="36"/>
          <w:lang w:eastAsia="zh-CN"/>
        </w:rPr>
        <w:t>2021</w:t>
      </w:r>
      <w:r>
        <w:rPr>
          <w:rFonts w:hint="eastAsia" w:ascii="宋体" w:hAnsi="宋体"/>
          <w:b/>
          <w:sz w:val="36"/>
          <w:szCs w:val="36"/>
        </w:rPr>
        <w:t>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color w:val="000000" w:themeColor="text1"/>
          <w:sz w:val="32"/>
          <w:szCs w:val="32"/>
          <w:lang w:val="en-US" w:eastAsia="zh-CN"/>
          <w14:textFill>
            <w14:solidFill>
              <w14:schemeClr w14:val="tx1"/>
            </w14:solidFill>
          </w14:textFill>
        </w:rPr>
        <w:t>1996.49</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1996.49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1927.3</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69.19</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3.47</w:t>
      </w:r>
      <w:r>
        <w:rPr>
          <w:rFonts w:hint="eastAsia" w:ascii="仿宋_GB2312" w:hAnsi="宋体" w:eastAsia="仿宋_GB2312"/>
          <w:sz w:val="32"/>
          <w:szCs w:val="32"/>
        </w:rPr>
        <w:t>%。主要是</w:t>
      </w:r>
      <w:r>
        <w:rPr>
          <w:rFonts w:hint="eastAsia" w:ascii="仿宋_GB2312" w:hAnsi="宋体" w:eastAsia="仿宋_GB2312"/>
          <w:sz w:val="32"/>
          <w:szCs w:val="32"/>
          <w:lang w:eastAsia="zh-CN"/>
        </w:rPr>
        <w:t>文化项目</w:t>
      </w:r>
      <w:r>
        <w:rPr>
          <w:rFonts w:hint="eastAsia" w:ascii="仿宋_GB2312" w:hAnsi="宋体" w:eastAsia="仿宋_GB2312"/>
          <w:sz w:val="32"/>
          <w:szCs w:val="32"/>
        </w:rPr>
        <w:t>等。</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586.3</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22.7</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w:t>
      </w:r>
      <w:r>
        <w:rPr>
          <w:rFonts w:hint="eastAsia" w:ascii="仿宋_GB2312" w:hAnsi="宋体" w:eastAsia="仿宋_GB2312"/>
          <w:sz w:val="32"/>
          <w:szCs w:val="32"/>
          <w:lang w:eastAsia="zh-CN"/>
        </w:rPr>
        <w:t>项目支出减少。</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1996.49</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82.98</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4.16</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65.73</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1.94</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15.08</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1913.51</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95.84</w:t>
      </w:r>
      <w:r>
        <w:rPr>
          <w:rFonts w:hint="eastAsia" w:ascii="仿宋_GB2312" w:hAnsi="宋体" w:eastAsia="仿宋_GB2312"/>
          <w:sz w:val="32"/>
          <w:szCs w:val="32"/>
        </w:rPr>
        <w:t>%。主要包括</w:t>
      </w:r>
      <w:r>
        <w:rPr>
          <w:rFonts w:hint="eastAsia" w:ascii="仿宋_GB2312" w:hAnsi="宋体" w:eastAsia="仿宋_GB2312"/>
          <w:sz w:val="32"/>
          <w:szCs w:val="32"/>
          <w:lang w:eastAsia="zh-CN"/>
        </w:rPr>
        <w:t>对文化、旅游、体育的</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与上年相比，今年支出减少</w:t>
      </w:r>
      <w:r>
        <w:rPr>
          <w:rFonts w:hint="eastAsia" w:ascii="仿宋_GB2312" w:hAnsi="宋体" w:eastAsia="仿宋_GB2312"/>
          <w:sz w:val="32"/>
          <w:szCs w:val="32"/>
          <w:lang w:val="en-US" w:eastAsia="zh-CN"/>
        </w:rPr>
        <w:t>586.3</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22.7</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w:t>
      </w:r>
      <w:r>
        <w:rPr>
          <w:rFonts w:hint="eastAsia" w:ascii="仿宋_GB2312" w:hAnsi="宋体" w:eastAsia="仿宋_GB2312"/>
          <w:sz w:val="32"/>
          <w:szCs w:val="32"/>
          <w:lang w:eastAsia="zh-CN"/>
        </w:rPr>
        <w:t>项目工程款支出减少。</w:t>
      </w:r>
    </w:p>
    <w:p>
      <w:pPr>
        <w:numPr>
          <w:ilvl w:val="0"/>
          <w:numId w:val="3"/>
        </w:num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年末结转和结余</w:t>
      </w:r>
      <w:r>
        <w:rPr>
          <w:rFonts w:hint="eastAsia" w:ascii="楷体_GB2312" w:hAnsi="宋体" w:eastAsia="楷体_GB2312"/>
          <w:b/>
          <w:sz w:val="32"/>
          <w:szCs w:val="32"/>
          <w:lang w:val="en-US" w:eastAsia="zh-CN"/>
        </w:rPr>
        <w:t>69.19</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项目资金未结完</w:t>
      </w:r>
      <w:r>
        <w:rPr>
          <w:rFonts w:hint="eastAsia" w:ascii="仿宋_GB2312" w:hAnsi="宋体" w:eastAsia="仿宋_GB2312"/>
          <w:sz w:val="32"/>
          <w:szCs w:val="32"/>
        </w:rPr>
        <w:t>等原因形成的结余。与上年相比，今年结转结余</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8.72</w:t>
      </w:r>
      <w:r>
        <w:rPr>
          <w:rFonts w:hint="eastAsia" w:ascii="仿宋_GB2312" w:hAnsi="宋体" w:eastAsia="仿宋_GB2312"/>
          <w:sz w:val="32"/>
          <w:szCs w:val="32"/>
        </w:rPr>
        <w:t>万元，主要原因：</w:t>
      </w:r>
      <w:r>
        <w:rPr>
          <w:rFonts w:hint="eastAsia" w:ascii="仿宋_GB2312" w:hAnsi="宋体" w:eastAsia="仿宋_GB2312"/>
          <w:sz w:val="32"/>
          <w:szCs w:val="32"/>
          <w:lang w:eastAsia="zh-CN"/>
        </w:rPr>
        <w:t>项目资金结算完成</w:t>
      </w:r>
      <w:r>
        <w:rPr>
          <w:rFonts w:hint="eastAsia" w:ascii="仿宋_GB2312" w:hAnsi="宋体" w:eastAsia="仿宋_GB2312"/>
          <w:sz w:val="32"/>
          <w:szCs w:val="32"/>
        </w:rPr>
        <w:t>。</w:t>
      </w:r>
    </w:p>
    <w:p>
      <w:pPr>
        <w:numPr>
          <w:ilvl w:val="0"/>
          <w:numId w:val="0"/>
        </w:numPr>
        <w:spacing w:line="540" w:lineRule="exact"/>
        <w:rPr>
          <w:rFonts w:hint="eastAsia" w:ascii="楷体_GB2312" w:hAnsi="宋体" w:eastAsia="楷体_GB2312"/>
          <w:b/>
          <w:sz w:val="32"/>
          <w:szCs w:val="32"/>
        </w:rPr>
      </w:pP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1996.49</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82.98</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1913.51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w:t>
      </w:r>
      <w:r>
        <w:rPr>
          <w:rFonts w:hint="eastAsia" w:ascii="仿宋_GB2312" w:hAnsi="宋体" w:eastAsia="仿宋_GB2312"/>
          <w:sz w:val="32"/>
          <w:szCs w:val="32"/>
          <w:lang w:val="en-US" w:eastAsia="zh-CN"/>
        </w:rPr>
        <w:t>586.3</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22.7</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w:t>
      </w:r>
      <w:r>
        <w:rPr>
          <w:rFonts w:hint="eastAsia" w:ascii="仿宋_GB2312" w:hAnsi="宋体" w:eastAsia="仿宋_GB2312"/>
          <w:sz w:val="32"/>
          <w:szCs w:val="32"/>
          <w:lang w:eastAsia="zh-CN"/>
        </w:rPr>
        <w:t>项目工程款支出减少。</w:t>
      </w:r>
    </w:p>
    <w:p>
      <w:pPr>
        <w:spacing w:line="540" w:lineRule="exact"/>
        <w:ind w:firstLine="660"/>
        <w:rPr>
          <w:rFonts w:hint="eastAsia" w:ascii="仿宋_GB2312" w:hAnsi="宋体" w:eastAsia="仿宋_GB2312"/>
          <w:color w:val="auto"/>
          <w:sz w:val="32"/>
          <w:szCs w:val="32"/>
        </w:rPr>
      </w:pP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2021</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w:t>
      </w:r>
      <w:bookmarkStart w:id="0" w:name="_GoBack"/>
      <w:bookmarkEnd w:id="0"/>
      <w:r>
        <w:rPr>
          <w:rFonts w:hint="eastAsia" w:ascii="仿宋_GB2312" w:hAnsi="宋体" w:eastAsia="仿宋_GB2312"/>
          <w:sz w:val="32"/>
          <w:szCs w:val="32"/>
        </w:rPr>
        <w:t>算的</w:t>
      </w:r>
      <w:r>
        <w:rPr>
          <w:rFonts w:hint="eastAsia" w:ascii="仿宋_GB2312" w:hAnsi="宋体" w:eastAsia="仿宋_GB2312"/>
          <w:color w:val="auto"/>
          <w:sz w:val="32"/>
          <w:szCs w:val="32"/>
          <w:lang w:val="en-US" w:eastAsia="zh-CN"/>
        </w:rPr>
        <w:t>156.74</w:t>
      </w:r>
      <w:r>
        <w:rPr>
          <w:rFonts w:hint="eastAsia" w:ascii="仿宋_GB2312" w:hAnsi="宋体" w:eastAsia="仿宋_GB2312"/>
          <w:color w:val="auto"/>
          <w:sz w:val="32"/>
          <w:szCs w:val="32"/>
        </w:rPr>
        <w:t>%，其中：基本支出完成年初预算的</w:t>
      </w:r>
      <w:r>
        <w:rPr>
          <w:rFonts w:hint="eastAsia" w:ascii="仿宋_GB2312" w:hAnsi="宋体" w:eastAsia="仿宋_GB2312"/>
          <w:color w:val="auto"/>
          <w:sz w:val="32"/>
          <w:szCs w:val="32"/>
          <w:lang w:val="en-US" w:eastAsia="zh-CN"/>
        </w:rPr>
        <w:t>113.45</w:t>
      </w:r>
      <w:r>
        <w:rPr>
          <w:rFonts w:hint="eastAsia" w:ascii="仿宋_GB2312" w:hAnsi="宋体" w:eastAsia="仿宋_GB2312"/>
          <w:color w:val="auto"/>
          <w:sz w:val="32"/>
          <w:szCs w:val="32"/>
        </w:rPr>
        <w:t>%，项目完成年初预算的</w:t>
      </w:r>
      <w:r>
        <w:rPr>
          <w:rFonts w:hint="eastAsia" w:ascii="仿宋_GB2312" w:hAnsi="宋体" w:eastAsia="仿宋_GB2312"/>
          <w:color w:val="auto"/>
          <w:sz w:val="32"/>
          <w:szCs w:val="32"/>
          <w:lang w:val="en-US" w:eastAsia="zh-CN"/>
        </w:rPr>
        <w:t>159.46</w:t>
      </w:r>
      <w:r>
        <w:rPr>
          <w:rFonts w:hint="eastAsia" w:ascii="仿宋_GB2312" w:hAnsi="宋体" w:eastAsia="仿宋_GB2312"/>
          <w:color w:val="auto"/>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1996.49</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eastAsia="zh-CN"/>
        </w:rPr>
        <w:t>文化旅游体育与传媒支出</w:t>
      </w:r>
      <w:r>
        <w:rPr>
          <w:rFonts w:hint="eastAsia" w:ascii="仿宋_GB2312" w:hAnsi="宋体" w:eastAsia="仿宋_GB2312"/>
          <w:sz w:val="32"/>
          <w:szCs w:val="32"/>
          <w:lang w:val="en-US" w:eastAsia="zh-CN"/>
        </w:rPr>
        <w:t>1973.51万元，占98.85%；社会保障和就业支出14.4万元，占0.72%；卫生健康支出3.63万元，占0.18%；住房保障支出4.94万元，占0.25%</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eastAsia="zh-CN"/>
        </w:rPr>
        <w:t>文化旅游体育与传媒支出</w:t>
      </w:r>
      <w:r>
        <w:rPr>
          <w:rFonts w:hint="eastAsia" w:ascii="仿宋_GB2312" w:hAnsi="宋体" w:eastAsia="仿宋_GB2312"/>
          <w:sz w:val="32"/>
          <w:szCs w:val="32"/>
          <w:lang w:val="en-US" w:eastAsia="zh-CN"/>
        </w:rPr>
        <w:t>1973.51万元，</w:t>
      </w:r>
      <w:r>
        <w:rPr>
          <w:rFonts w:hint="eastAsia" w:ascii="仿宋_GB2312" w:hAnsi="宋体" w:eastAsia="仿宋_GB2312"/>
          <w:sz w:val="32"/>
          <w:szCs w:val="32"/>
        </w:rPr>
        <w:t>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eastAsia="zh-CN"/>
        </w:rPr>
        <w:t>基本支出</w:t>
      </w:r>
      <w:r>
        <w:rPr>
          <w:rFonts w:hint="eastAsia" w:ascii="仿宋_GB2312" w:hAnsi="宋体" w:eastAsia="仿宋_GB2312"/>
          <w:sz w:val="32"/>
          <w:szCs w:val="32"/>
          <w:lang w:val="en-US" w:eastAsia="zh-CN"/>
        </w:rPr>
        <w:t>82.98万元</w:t>
      </w:r>
      <w:r>
        <w:rPr>
          <w:rFonts w:hint="eastAsia" w:ascii="仿宋_GB2312" w:hAnsi="宋体" w:eastAsia="仿宋_GB2312"/>
          <w:sz w:val="32"/>
          <w:szCs w:val="32"/>
        </w:rPr>
        <w:t>，主要是</w:t>
      </w:r>
      <w:r>
        <w:rPr>
          <w:rFonts w:hint="eastAsia" w:ascii="仿宋_GB2312" w:hAnsi="宋体" w:eastAsia="仿宋_GB2312"/>
          <w:sz w:val="32"/>
          <w:szCs w:val="32"/>
          <w:lang w:eastAsia="zh-CN"/>
        </w:rPr>
        <w:t>行政运行</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112.53</w:t>
      </w:r>
      <w:r>
        <w:rPr>
          <w:rFonts w:hint="eastAsia" w:ascii="仿宋_GB2312" w:hAnsi="宋体" w:eastAsia="仿宋_GB2312"/>
          <w:sz w:val="32"/>
          <w:szCs w:val="32"/>
        </w:rPr>
        <w:t>%，决算数</w:t>
      </w:r>
      <w:r>
        <w:rPr>
          <w:rFonts w:hint="eastAsia" w:ascii="仿宋_GB2312" w:hAnsi="宋体" w:eastAsia="仿宋_GB2312"/>
          <w:color w:val="auto"/>
          <w:sz w:val="32"/>
          <w:szCs w:val="32"/>
          <w:lang w:eastAsia="zh-CN"/>
        </w:rPr>
        <w:t>小</w:t>
      </w:r>
      <w:r>
        <w:rPr>
          <w:rFonts w:hint="eastAsia" w:ascii="仿宋_GB2312" w:hAnsi="宋体" w:eastAsia="仿宋_GB2312"/>
          <w:color w:val="auto"/>
          <w:sz w:val="32"/>
          <w:szCs w:val="32"/>
        </w:rPr>
        <w:t>于</w:t>
      </w:r>
      <w:r>
        <w:rPr>
          <w:rFonts w:hint="eastAsia" w:ascii="仿宋_GB2312" w:hAnsi="宋体" w:eastAsia="仿宋_GB2312"/>
          <w:sz w:val="32"/>
          <w:szCs w:val="32"/>
        </w:rPr>
        <w:t>年初预算数的原因主要是</w:t>
      </w:r>
      <w:r>
        <w:rPr>
          <w:rFonts w:hint="eastAsia" w:ascii="仿宋_GB2312" w:hAnsi="宋体" w:eastAsia="仿宋_GB2312" w:cs="Times New Roman"/>
          <w:sz w:val="32"/>
          <w:szCs w:val="32"/>
          <w:lang w:val="en-US" w:eastAsia="zh-CN"/>
        </w:rPr>
        <w:t>工资及保险等因素</w:t>
      </w:r>
      <w:r>
        <w:rPr>
          <w:rFonts w:hint="eastAsia" w:ascii="仿宋_GB2312" w:hAnsi="宋体" w:eastAsia="仿宋_GB2312"/>
          <w:sz w:val="32"/>
          <w:szCs w:val="32"/>
        </w:rPr>
        <w:t>。</w:t>
      </w:r>
    </w:p>
    <w:p>
      <w:pPr>
        <w:spacing w:line="540" w:lineRule="exact"/>
        <w:ind w:firstLine="660"/>
        <w:rPr>
          <w:rFonts w:hint="default" w:ascii="仿宋_GB2312" w:hAnsi="宋体" w:eastAsia="仿宋_GB2312" w:cs="Times New Roman"/>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）项目支出</w:t>
      </w:r>
      <w:r>
        <w:rPr>
          <w:rFonts w:hint="eastAsia" w:ascii="仿宋_GB2312" w:hAnsi="宋体" w:eastAsia="仿宋_GB2312"/>
          <w:sz w:val="32"/>
          <w:szCs w:val="32"/>
          <w:lang w:val="en-US" w:eastAsia="zh-CN"/>
        </w:rPr>
        <w:t>1913.51万元，主要是</w:t>
      </w:r>
      <w:r>
        <w:rPr>
          <w:rFonts w:hint="eastAsia" w:ascii="仿宋_GB2312" w:hAnsi="宋体" w:eastAsia="仿宋_GB2312"/>
          <w:sz w:val="32"/>
          <w:szCs w:val="32"/>
          <w:lang w:eastAsia="zh-CN"/>
        </w:rPr>
        <w:t>其它文化和旅游</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159.46</w:t>
      </w:r>
      <w:r>
        <w:rPr>
          <w:rFonts w:hint="eastAsia" w:ascii="仿宋_GB2312" w:hAnsi="宋体" w:eastAsia="仿宋_GB2312"/>
          <w:color w:val="auto"/>
          <w:sz w:val="32"/>
          <w:szCs w:val="32"/>
        </w:rPr>
        <w:t>%</w:t>
      </w:r>
      <w:r>
        <w:rPr>
          <w:rFonts w:hint="eastAsia" w:ascii="仿宋_GB2312" w:hAnsi="宋体" w:eastAsia="仿宋_GB2312"/>
          <w:sz w:val="32"/>
          <w:szCs w:val="32"/>
        </w:rPr>
        <w:t>，决算数</w:t>
      </w:r>
      <w:r>
        <w:rPr>
          <w:rFonts w:hint="eastAsia" w:ascii="仿宋_GB2312" w:hAnsi="宋体" w:eastAsia="仿宋_GB2312"/>
          <w:sz w:val="32"/>
          <w:szCs w:val="32"/>
          <w:lang w:eastAsia="zh-CN"/>
        </w:rPr>
        <w:t>大于</w:t>
      </w:r>
      <w:r>
        <w:rPr>
          <w:rFonts w:hint="eastAsia" w:ascii="仿宋_GB2312" w:hAnsi="宋体" w:eastAsia="仿宋_GB2312"/>
          <w:sz w:val="32"/>
          <w:szCs w:val="32"/>
        </w:rPr>
        <w:t>年初预算数的原因主要</w:t>
      </w:r>
      <w:r>
        <w:rPr>
          <w:rFonts w:hint="eastAsia" w:ascii="仿宋_GB2312" w:hAnsi="宋体" w:eastAsia="仿宋_GB2312" w:cs="Times New Roman"/>
          <w:sz w:val="32"/>
          <w:szCs w:val="32"/>
          <w:lang w:val="en-US" w:eastAsia="zh-CN"/>
        </w:rPr>
        <w:t>在于专项经费支出。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社会保障和就业支出14.4万元,</w:t>
      </w:r>
      <w:r>
        <w:rPr>
          <w:rFonts w:hint="eastAsia" w:ascii="仿宋_GB2312" w:hAnsi="宋体" w:eastAsia="仿宋_GB2312"/>
          <w:sz w:val="32"/>
          <w:szCs w:val="32"/>
        </w:rPr>
        <w:t>主要</w:t>
      </w:r>
      <w:r>
        <w:rPr>
          <w:rFonts w:hint="eastAsia" w:ascii="仿宋_GB2312" w:hAnsi="宋体" w:eastAsia="仿宋_GB2312"/>
          <w:sz w:val="32"/>
          <w:szCs w:val="32"/>
          <w:lang w:eastAsia="zh-CN"/>
        </w:rPr>
        <w:t>是</w:t>
      </w:r>
      <w:r>
        <w:rPr>
          <w:rFonts w:hint="eastAsia" w:ascii="仿宋_GB2312" w:hAnsi="宋体" w:eastAsia="仿宋_GB2312"/>
          <w:sz w:val="32"/>
          <w:szCs w:val="32"/>
        </w:rPr>
        <w:t>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53.26</w:t>
      </w:r>
      <w:r>
        <w:rPr>
          <w:rFonts w:hint="eastAsia" w:ascii="仿宋_GB2312" w:hAnsi="宋体" w:eastAsia="仿宋_GB2312"/>
          <w:sz w:val="32"/>
          <w:szCs w:val="32"/>
        </w:rPr>
        <w:t>%，决算数</w:t>
      </w:r>
      <w:r>
        <w:rPr>
          <w:rFonts w:hint="eastAsia" w:ascii="仿宋_GB2312" w:hAnsi="宋体" w:eastAsia="仿宋_GB2312"/>
          <w:sz w:val="32"/>
          <w:szCs w:val="32"/>
          <w:lang w:eastAsia="zh-CN"/>
        </w:rPr>
        <w:t>大</w:t>
      </w:r>
      <w:r>
        <w:rPr>
          <w:rFonts w:hint="eastAsia" w:ascii="仿宋_GB2312" w:hAnsi="宋体" w:eastAsia="仿宋_GB2312"/>
          <w:sz w:val="32"/>
          <w:szCs w:val="32"/>
        </w:rPr>
        <w:t>于年初预算数的原因主要</w:t>
      </w:r>
      <w:r>
        <w:rPr>
          <w:rFonts w:hint="eastAsia" w:ascii="仿宋_GB2312" w:hAnsi="宋体" w:eastAsia="仿宋_GB2312" w:cs="Times New Roman"/>
          <w:sz w:val="32"/>
          <w:szCs w:val="32"/>
          <w:lang w:val="en-US" w:eastAsia="zh-CN"/>
        </w:rPr>
        <w:t>在于人员变动保险基数上调因素</w:t>
      </w:r>
      <w:r>
        <w:rPr>
          <w:rFonts w:hint="eastAsia" w:ascii="仿宋_GB2312" w:hAnsi="宋体" w:eastAsia="仿宋_GB2312" w:cs="Times New Roman"/>
          <w:sz w:val="32"/>
          <w:szCs w:val="32"/>
        </w:rPr>
        <w:t>。</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卫生健康支出3.63万元,</w:t>
      </w:r>
      <w:r>
        <w:rPr>
          <w:rFonts w:hint="eastAsia" w:ascii="仿宋_GB2312" w:hAnsi="宋体" w:eastAsia="仿宋_GB2312"/>
          <w:sz w:val="32"/>
          <w:szCs w:val="32"/>
        </w:rPr>
        <w:t>主要</w:t>
      </w:r>
      <w:r>
        <w:rPr>
          <w:rFonts w:hint="eastAsia" w:ascii="仿宋_GB2312" w:hAnsi="宋体" w:eastAsia="仿宋_GB2312"/>
          <w:sz w:val="32"/>
          <w:szCs w:val="32"/>
          <w:lang w:eastAsia="zh-CN"/>
        </w:rPr>
        <w:t>是</w:t>
      </w:r>
      <w:r>
        <w:rPr>
          <w:rFonts w:hint="eastAsia" w:ascii="仿宋_GB2312" w:hAnsi="宋体" w:eastAsia="仿宋_GB2312"/>
          <w:sz w:val="32"/>
          <w:szCs w:val="32"/>
        </w:rPr>
        <w:t>行政单位医疗</w:t>
      </w:r>
      <w:r>
        <w:rPr>
          <w:rFonts w:hint="eastAsia" w:ascii="仿宋_GB2312" w:hAnsi="宋体" w:eastAsia="仿宋_GB2312"/>
          <w:sz w:val="32"/>
          <w:szCs w:val="32"/>
          <w:lang w:eastAsia="zh-CN"/>
        </w:rPr>
        <w:t>和公务员医疗补助支出，完成年初预算的</w:t>
      </w:r>
      <w:r>
        <w:rPr>
          <w:rFonts w:hint="eastAsia" w:ascii="仿宋_GB2312" w:hAnsi="宋体" w:eastAsia="仿宋_GB2312"/>
          <w:sz w:val="32"/>
          <w:szCs w:val="32"/>
          <w:lang w:val="en-US" w:eastAsia="zh-CN"/>
        </w:rPr>
        <w:t>92.83%，</w:t>
      </w:r>
      <w:r>
        <w:rPr>
          <w:rFonts w:hint="eastAsia" w:ascii="仿宋_GB2312" w:hAnsi="宋体" w:eastAsia="仿宋_GB2312"/>
          <w:sz w:val="32"/>
          <w:szCs w:val="32"/>
        </w:rPr>
        <w:t>决算数小于年初预算数的原因主要</w:t>
      </w:r>
      <w:r>
        <w:rPr>
          <w:rFonts w:hint="eastAsia" w:ascii="仿宋_GB2312" w:hAnsi="宋体" w:eastAsia="仿宋_GB2312" w:cs="Times New Roman"/>
          <w:sz w:val="32"/>
          <w:szCs w:val="32"/>
          <w:lang w:val="en-US" w:eastAsia="zh-CN"/>
        </w:rPr>
        <w:t>在于医保基数2021年没有上调因素</w:t>
      </w:r>
      <w:r>
        <w:rPr>
          <w:rFonts w:hint="eastAsia" w:ascii="仿宋_GB2312" w:hAnsi="宋体" w:eastAsia="仿宋_GB2312" w:cs="Times New Roman"/>
          <w:sz w:val="32"/>
          <w:szCs w:val="32"/>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住房保障支出4.94万元,</w:t>
      </w:r>
      <w:r>
        <w:rPr>
          <w:rFonts w:hint="eastAsia" w:ascii="仿宋_GB2312" w:hAnsi="宋体" w:eastAsia="仿宋_GB2312"/>
          <w:sz w:val="32"/>
          <w:szCs w:val="32"/>
        </w:rPr>
        <w:t>主要</w:t>
      </w:r>
      <w:r>
        <w:rPr>
          <w:rFonts w:hint="eastAsia" w:ascii="仿宋_GB2312" w:hAnsi="宋体" w:eastAsia="仿宋_GB2312"/>
          <w:sz w:val="32"/>
          <w:szCs w:val="32"/>
          <w:lang w:eastAsia="zh-CN"/>
        </w:rPr>
        <w:t>是</w:t>
      </w:r>
      <w:r>
        <w:rPr>
          <w:rFonts w:hint="eastAsia" w:ascii="仿宋_GB2312" w:hAnsi="宋体" w:eastAsia="仿宋_GB2312"/>
          <w:sz w:val="32"/>
          <w:szCs w:val="32"/>
        </w:rPr>
        <w:t>住房公积金</w:t>
      </w:r>
      <w:r>
        <w:rPr>
          <w:rFonts w:hint="eastAsia" w:ascii="仿宋_GB2312" w:hAnsi="宋体" w:eastAsia="仿宋_GB2312"/>
          <w:sz w:val="32"/>
          <w:szCs w:val="32"/>
          <w:lang w:eastAsia="zh-CN"/>
        </w:rPr>
        <w:t>支出，完成年初预算的</w:t>
      </w:r>
      <w:r>
        <w:rPr>
          <w:rFonts w:hint="eastAsia" w:ascii="仿宋_GB2312" w:hAnsi="宋体" w:eastAsia="仿宋_GB2312"/>
          <w:sz w:val="32"/>
          <w:szCs w:val="32"/>
          <w:lang w:val="en-US" w:eastAsia="zh-CN"/>
        </w:rPr>
        <w:t>0.25%，</w:t>
      </w:r>
      <w:r>
        <w:rPr>
          <w:rFonts w:hint="eastAsia" w:ascii="仿宋_GB2312" w:hAnsi="宋体" w:eastAsia="仿宋_GB2312"/>
          <w:sz w:val="32"/>
          <w:szCs w:val="32"/>
        </w:rPr>
        <w:t>决算数小于年初预算数的原因主要</w:t>
      </w:r>
      <w:r>
        <w:rPr>
          <w:rFonts w:hint="eastAsia" w:ascii="仿宋_GB2312" w:hAnsi="宋体" w:eastAsia="仿宋_GB2312"/>
          <w:sz w:val="32"/>
          <w:szCs w:val="32"/>
          <w:lang w:eastAsia="zh-CN"/>
        </w:rPr>
        <w:t>在于</w:t>
      </w:r>
      <w:r>
        <w:rPr>
          <w:rFonts w:hint="eastAsia" w:ascii="仿宋_GB2312" w:hAnsi="宋体" w:eastAsia="仿宋_GB2312" w:cs="Times New Roman"/>
          <w:sz w:val="32"/>
          <w:szCs w:val="32"/>
          <w:lang w:val="en-US" w:eastAsia="zh-CN"/>
        </w:rPr>
        <w:t>住房公积金基数因素</w:t>
      </w:r>
      <w:r>
        <w:rPr>
          <w:rFonts w:hint="eastAsia" w:ascii="仿宋_GB2312" w:hAnsi="宋体" w:eastAsia="仿宋_GB2312" w:cs="Times New Roman"/>
          <w:sz w:val="32"/>
          <w:szCs w:val="32"/>
        </w:rPr>
        <w:t>。</w:t>
      </w:r>
    </w:p>
    <w:p>
      <w:pPr>
        <w:spacing w:line="54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压缩经费</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2021</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val="en-US" w:eastAsia="zh-CN"/>
        </w:rPr>
        <w:t>,</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为参加0团</w:t>
      </w:r>
      <w:r>
        <w:rPr>
          <w:rFonts w:hint="eastAsia" w:ascii="仿宋_GB2312" w:hAnsi="宋体" w:eastAsia="仿宋_GB2312"/>
          <w:sz w:val="32"/>
          <w:szCs w:val="32"/>
        </w:rPr>
        <w:t>等。</w:t>
      </w:r>
      <w:r>
        <w:rPr>
          <w:rFonts w:hint="eastAsia" w:ascii="仿宋_GB2312" w:hAnsi="宋体" w:eastAsia="仿宋_GB2312"/>
          <w:sz w:val="32"/>
          <w:szCs w:val="32"/>
          <w:lang w:eastAsia="zh-CN"/>
        </w:rPr>
        <w:t>2021</w:t>
      </w:r>
      <w:r>
        <w:rPr>
          <w:rFonts w:hint="eastAsia" w:ascii="仿宋_GB2312" w:hAnsi="宋体" w:eastAsia="仿宋_GB2312"/>
          <w:sz w:val="32"/>
          <w:szCs w:val="32"/>
        </w:rPr>
        <w:t>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2021</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2021</w:t>
      </w:r>
      <w:r>
        <w:rPr>
          <w:rFonts w:hint="eastAsia" w:ascii="仿宋_GB2312" w:hAnsi="宋体" w:eastAsia="仿宋_GB2312"/>
          <w:sz w:val="32"/>
          <w:szCs w:val="32"/>
        </w:rPr>
        <w:t>年公务接待费比上年减少（增加）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0</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82.98</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67.67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15.3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2021</w:t>
      </w:r>
      <w:r>
        <w:rPr>
          <w:rFonts w:hint="eastAsia" w:ascii="仿宋_GB2312" w:hAnsi="黑体" w:eastAsia="仿宋_GB2312"/>
          <w:sz w:val="32"/>
          <w:szCs w:val="32"/>
        </w:rPr>
        <w:t>年机关运行经费支出</w:t>
      </w:r>
      <w:r>
        <w:rPr>
          <w:rFonts w:hint="eastAsia" w:ascii="仿宋_GB2312" w:hAnsi="黑体" w:eastAsia="仿宋_GB2312"/>
          <w:sz w:val="32"/>
          <w:szCs w:val="32"/>
          <w:lang w:val="en-US" w:eastAsia="zh-CN"/>
        </w:rPr>
        <w:t>15.3</w:t>
      </w:r>
      <w:r>
        <w:rPr>
          <w:rFonts w:hint="eastAsia" w:ascii="仿宋_GB2312" w:hAnsi="黑体" w:eastAsia="仿宋_GB2312"/>
          <w:sz w:val="32"/>
          <w:szCs w:val="32"/>
        </w:rPr>
        <w:t>万元，比上年</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2.34</w:t>
      </w:r>
      <w:r>
        <w:rPr>
          <w:rFonts w:hint="eastAsia" w:ascii="仿宋_GB2312" w:hAnsi="黑体" w:eastAsia="仿宋_GB2312"/>
          <w:sz w:val="32"/>
          <w:szCs w:val="32"/>
        </w:rPr>
        <w:t>万元，</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15.29</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人员增加办公用品增加</w:t>
      </w:r>
      <w:r>
        <w:rPr>
          <w:rFonts w:hint="eastAsia" w:ascii="仿宋_GB2312" w:hAnsi="黑体"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2021</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2021</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辆，其他用车主要是</w:t>
      </w:r>
      <w:r>
        <w:rPr>
          <w:rFonts w:hint="eastAsia" w:ascii="仿宋_GB2312" w:hAnsi="黑体" w:eastAsia="仿宋_GB2312"/>
          <w:sz w:val="32"/>
          <w:szCs w:val="32"/>
          <w:lang w:val="en-US" w:eastAsia="zh-CN"/>
        </w:rPr>
        <w:t>0</w:t>
      </w:r>
      <w:r>
        <w:rPr>
          <w:rFonts w:hint="eastAsia" w:ascii="仿宋_GB2312" w:hAnsi="黑体" w:eastAsia="仿宋_GB2312"/>
          <w:sz w:val="32"/>
          <w:szCs w:val="32"/>
        </w:rPr>
        <w:t>；单位价值50万元以上通用设备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color w:val="auto"/>
          <w:highlight w:val="none"/>
          <w:shd w:val="clear" w:color="auto" w:fill="auto"/>
        </w:rPr>
      </w:pPr>
      <w:r>
        <w:rPr>
          <w:rFonts w:ascii="楷体_GB2312" w:hAnsi="宋体" w:eastAsia="楷体_GB2312" w:cs="楷体_GB2312"/>
          <w:b/>
          <w:color w:val="auto"/>
          <w:kern w:val="2"/>
          <w:sz w:val="32"/>
          <w:szCs w:val="32"/>
          <w:highlight w:val="none"/>
          <w:shd w:val="clear" w:color="auto" w:fill="auto"/>
          <w:lang w:val="en-US" w:eastAsia="zh-CN" w:bidi="ar"/>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年度预算项目支出全面开展绩效自评，共涉及预算支出项目1个，涉及资金1913.51万元，自评覆盖率（开展绩效自评的项目数</w:t>
      </w:r>
      <w:r>
        <w:rPr>
          <w:rFonts w:hint="eastAsia" w:ascii="仿宋_GB2312" w:hAnsi="宋体" w:eastAsia="仿宋_GB2312" w:cs="宋体"/>
          <w:color w:val="auto"/>
          <w:kern w:val="2"/>
          <w:sz w:val="32"/>
          <w:szCs w:val="32"/>
          <w:highlight w:val="none"/>
          <w:shd w:val="clear" w:color="auto" w:fill="auto"/>
          <w:lang w:val="en-US" w:eastAsia="zh-CN" w:bidi="ar"/>
        </w:rPr>
        <w:t>/年初批复绩效目标的项目数）达到</w:t>
      </w:r>
      <w:r>
        <w:rPr>
          <w:rFonts w:hint="eastAsia" w:ascii="仿宋_GB2312" w:hAnsi="宋体" w:eastAsia="仿宋_GB2312" w:cs="仿宋_GB2312"/>
          <w:color w:val="auto"/>
          <w:kern w:val="2"/>
          <w:sz w:val="32"/>
          <w:szCs w:val="32"/>
          <w:highlight w:val="none"/>
          <w:shd w:val="clear" w:color="auto" w:fill="auto"/>
          <w:lang w:val="en-US" w:eastAsia="zh-CN" w:bidi="ar"/>
        </w:rPr>
        <w:t>100</w:t>
      </w:r>
      <w:r>
        <w:rPr>
          <w:rFonts w:hint="eastAsia" w:ascii="仿宋_GB2312" w:hAnsi="宋体" w:eastAsia="仿宋_GB2312" w:cs="宋体"/>
          <w:color w:val="auto"/>
          <w:kern w:val="2"/>
          <w:sz w:val="32"/>
          <w:szCs w:val="32"/>
          <w:highlight w:val="none"/>
          <w:shd w:val="clear" w:color="auto" w:fill="auto"/>
          <w:lang w:val="en-US" w:eastAsia="zh-CN" w:bidi="ar"/>
        </w:rPr>
        <w:t>%，自评平均分（开展绩效自评的项目分数总和/开展绩效自评的项目数）91</w:t>
      </w:r>
      <w:r>
        <w:rPr>
          <w:rFonts w:hint="eastAsia" w:ascii="仿宋_GB2312" w:hAnsi="宋体" w:eastAsia="仿宋_GB2312" w:cs="仿宋_GB2312"/>
          <w:color w:val="auto"/>
          <w:kern w:val="2"/>
          <w:sz w:val="32"/>
          <w:szCs w:val="32"/>
          <w:highlight w:val="none"/>
          <w:shd w:val="clear" w:color="auto" w:fill="auto"/>
          <w:lang w:val="en-US" w:eastAsia="zh-CN" w:bidi="ar"/>
        </w:rPr>
        <w:t>分。</w:t>
      </w:r>
      <w:r>
        <w:rPr>
          <w:rFonts w:hint="eastAsia"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仿宋_GB2312"/>
          <w:color w:val="auto"/>
          <w:kern w:val="2"/>
          <w:sz w:val="32"/>
          <w:szCs w:val="32"/>
          <w:highlight w:val="none"/>
          <w:shd w:val="clear" w:color="auto" w:fill="auto"/>
          <w:lang w:val="en-US" w:eastAsia="zh-CN" w:bidi="ar"/>
        </w:rPr>
        <w:t>1</w:t>
      </w:r>
      <w:r>
        <w:rPr>
          <w:rFonts w:hint="eastAsia" w:hAnsi="宋体" w:eastAsia="仿宋_GB2312" w:cs="仿宋_GB2312"/>
          <w:color w:val="auto"/>
          <w:kern w:val="2"/>
          <w:sz w:val="32"/>
          <w:szCs w:val="32"/>
          <w:highlight w:val="none"/>
          <w:shd w:val="clear" w:color="auto" w:fill="auto"/>
          <w:lang w:val="en-US" w:eastAsia="zh-CN" w:bidi="ar"/>
        </w:rPr>
        <w:t>个单位开展整体绩效自评，涉及资金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1273.76</w:t>
      </w:r>
      <w:r>
        <w:rPr>
          <w:rFonts w:hint="eastAsia" w:hAnsi="宋体" w:eastAsia="仿宋_GB2312" w:cs="仿宋_GB2312"/>
          <w:color w:val="auto"/>
          <w:kern w:val="2"/>
          <w:sz w:val="32"/>
          <w:szCs w:val="32"/>
          <w:highlight w:val="none"/>
          <w:shd w:val="clear" w:color="auto" w:fill="auto"/>
          <w:lang w:val="en-US" w:eastAsia="zh-CN" w:bidi="ar"/>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ar"/>
        </w:rPr>
        <w:t>91</w:t>
      </w:r>
      <w:r>
        <w:rPr>
          <w:rFonts w:hint="eastAsia" w:hAnsi="宋体" w:eastAsia="仿宋_GB2312" w:cs="仿宋_GB2312"/>
          <w:color w:val="auto"/>
          <w:kern w:val="2"/>
          <w:sz w:val="32"/>
          <w:szCs w:val="32"/>
          <w:highlight w:val="none"/>
          <w:shd w:val="clear" w:color="auto" w:fill="auto"/>
          <w:lang w:val="en-US" w:eastAsia="zh-CN" w:bidi="ar"/>
        </w:rPr>
        <w:t>分。</w:t>
      </w:r>
    </w:p>
    <w:p>
      <w:pPr>
        <w:ind w:firstLine="643" w:firstLineChars="200"/>
        <w:rPr>
          <w:rFonts w:hint="default"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（2）部门评价情况。</w:t>
      </w:r>
      <w:r>
        <w:rPr>
          <w:rFonts w:hint="eastAsia" w:hAnsi="宋体" w:eastAsia="仿宋_GB2312" w:cs="仿宋_GB2312"/>
          <w:b w:val="0"/>
          <w:bCs w:val="0"/>
          <w:color w:val="auto"/>
          <w:kern w:val="2"/>
          <w:sz w:val="32"/>
          <w:szCs w:val="32"/>
          <w:highlight w:val="none"/>
          <w:shd w:val="clear" w:color="auto" w:fill="auto"/>
          <w:lang w:val="en-US" w:eastAsia="zh-CN" w:bidi="ar"/>
        </w:rPr>
        <w:t>2021年我部门未涉及相关评价工作。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2.部门决算中项目绩效自评结果。</w:t>
      </w:r>
    </w:p>
    <w:p>
      <w:pPr>
        <w:ind w:firstLine="640" w:firstLineChars="200"/>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（1）“楹联书法博物馆工程项目建设费”项目自评综述：根据年初设定的绩效目标，项目自评得分88分。项目全年预算数为900万元，执行数为200万元，完成预算的22%。</w:t>
      </w:r>
    </w:p>
    <w:p>
      <w:pPr>
        <w:ind w:firstLine="640" w:firstLineChars="200"/>
        <w:outlineLvl w:val="0"/>
        <w:rPr>
          <w:rFonts w:hint="default" w:ascii="仿宋_GB2312" w:hAnsi="Times New Roman" w:eastAsia="仿宋_GB2312" w:cs="Times New Roman"/>
          <w:color w:val="auto"/>
          <w:sz w:val="32"/>
          <w:szCs w:val="32"/>
          <w:highlight w:val="none"/>
          <w:lang w:val="en-US" w:eastAsia="zh-CN"/>
        </w:rPr>
      </w:pPr>
      <w:r>
        <w:rPr>
          <w:rFonts w:hint="eastAsia" w:ascii="仿宋_GB2312" w:hAnsi="宋体" w:eastAsia="仿宋_GB2312" w:cs="仿宋_GB2312"/>
          <w:color w:val="auto"/>
          <w:kern w:val="2"/>
          <w:sz w:val="32"/>
          <w:szCs w:val="32"/>
          <w:highlight w:val="none"/>
          <w:shd w:val="clear" w:color="auto" w:fill="auto"/>
          <w:lang w:val="en-US" w:eastAsia="zh-CN" w:bidi="ar"/>
        </w:rPr>
        <w:t>项目绩效目标完成情况：</w:t>
      </w:r>
      <w:r>
        <w:rPr>
          <w:rFonts w:hint="eastAsia" w:ascii="仿宋_GB2312" w:eastAsia="仿宋_GB2312"/>
          <w:color w:val="000000"/>
          <w:sz w:val="32"/>
          <w:szCs w:val="32"/>
          <w:highlight w:val="none"/>
          <w:lang w:val="en-US" w:eastAsia="zh-CN"/>
        </w:rPr>
        <w:t>2021年</w:t>
      </w:r>
      <w:r>
        <w:rPr>
          <w:rFonts w:hint="eastAsia" w:ascii="仿宋_GB2312" w:hAnsi="Times New Roman" w:eastAsia="仿宋_GB2312" w:cs="Times New Roman"/>
          <w:color w:val="000000"/>
          <w:sz w:val="32"/>
          <w:szCs w:val="32"/>
          <w:highlight w:val="none"/>
          <w:lang w:val="en-US" w:eastAsia="zh-CN"/>
        </w:rPr>
        <w:t>兴隆台区文化旅游和广播电视局</w:t>
      </w:r>
      <w:r>
        <w:rPr>
          <w:rFonts w:hint="eastAsia" w:ascii="仿宋_GB2312" w:eastAsia="仿宋_GB2312"/>
          <w:color w:val="000000"/>
          <w:sz w:val="32"/>
          <w:szCs w:val="32"/>
          <w:highlight w:val="none"/>
          <w:lang w:val="en-US" w:eastAsia="zh-CN"/>
        </w:rPr>
        <w:t>已经完成</w:t>
      </w:r>
      <w:r>
        <w:rPr>
          <w:rFonts w:hint="eastAsia" w:ascii="仿宋_GB2312" w:hAnsi="宋体" w:eastAsia="仿宋_GB2312" w:cs="仿宋_GB2312"/>
          <w:color w:val="auto"/>
          <w:kern w:val="2"/>
          <w:sz w:val="32"/>
          <w:szCs w:val="32"/>
          <w:highlight w:val="none"/>
          <w:shd w:val="clear" w:color="auto" w:fill="auto"/>
          <w:lang w:val="en-US" w:eastAsia="zh-CN" w:bidi="ar"/>
        </w:rPr>
        <w:t xml:space="preserve">项目绩效 293.93 </w:t>
      </w:r>
      <w:r>
        <w:rPr>
          <w:rFonts w:hint="eastAsia" w:ascii="仿宋_GB2312" w:eastAsia="仿宋_GB2312"/>
          <w:color w:val="000000"/>
          <w:sz w:val="32"/>
          <w:szCs w:val="32"/>
          <w:highlight w:val="none"/>
          <w:lang w:val="en-US" w:eastAsia="zh-CN"/>
        </w:rPr>
        <w:t>万元。</w:t>
      </w:r>
      <w:r>
        <w:rPr>
          <w:rFonts w:hint="eastAsia" w:ascii="仿宋_GB2312" w:hAnsi="宋体" w:eastAsia="仿宋_GB2312" w:cs="仿宋_GB2312"/>
          <w:color w:val="auto"/>
          <w:kern w:val="2"/>
          <w:sz w:val="32"/>
          <w:szCs w:val="32"/>
          <w:highlight w:val="none"/>
          <w:shd w:val="clear" w:color="auto" w:fill="auto"/>
          <w:lang w:val="en-US" w:eastAsia="zh-CN" w:bidi="ar"/>
        </w:rPr>
        <w:t>楹联书法博物馆工程项目建设费</w:t>
      </w:r>
      <w:r>
        <w:rPr>
          <w:rFonts w:hint="eastAsia" w:ascii="仿宋_GB2312" w:eastAsia="仿宋_GB2312"/>
          <w:color w:val="000000"/>
          <w:sz w:val="32"/>
          <w:szCs w:val="32"/>
          <w:highlight w:val="none"/>
          <w:lang w:val="en-US" w:eastAsia="zh-CN"/>
        </w:rPr>
        <w:t>项目，绩效自评总得分88分。</w:t>
      </w:r>
    </w:p>
    <w:p>
      <w:pPr>
        <w:ind w:firstLine="640" w:firstLineChars="200"/>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eastAsia="仿宋_GB2312"/>
          <w:sz w:val="32"/>
          <w:szCs w:val="32"/>
          <w:highlight w:val="none"/>
        </w:rPr>
        <w:t>部分工作绩效目标难以确定。预算编制绩效目标在实际开展工作时因有新要求和新任务，预算绩效目标与实施绩效目标会有差异</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eastAsia="仿宋_GB2312"/>
          <w:sz w:val="32"/>
          <w:szCs w:val="32"/>
          <w:highlight w:val="none"/>
        </w:rPr>
        <w:t>对现行的预算绩效管理不适应。随着财政改革步伐的推进，预算绩效管理在财政改革中的地位与角色更加凸显，而当前绩效管理没有成熟模式，没有专业绩效管理人员，缺乏专业知识和相应的工作经验</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eastAsia="仿宋_GB2312"/>
          <w:sz w:val="32"/>
          <w:szCs w:val="32"/>
          <w:highlight w:val="none"/>
        </w:rPr>
        <w:t>预算编制水平有待进一步提高。资金管理业务人员及项目管理业务人员普遍未系统学习过绩效管理知识，绩效管理水平有待提高，未全面掌握绩效管理工作方法和能力</w:t>
      </w:r>
      <w:r>
        <w:rPr>
          <w:rFonts w:hint="eastAsia" w:ascii="仿宋_GB2312" w:hAnsi="宋体" w:eastAsia="仿宋_GB2312" w:cs="仿宋_GB2312"/>
          <w:color w:val="auto"/>
          <w:kern w:val="2"/>
          <w:sz w:val="32"/>
          <w:szCs w:val="32"/>
          <w:highlight w:val="none"/>
          <w:shd w:val="clear" w:color="auto" w:fill="auto"/>
          <w:lang w:val="en-US" w:eastAsia="zh-CN" w:bidi="ar"/>
        </w:rPr>
        <w:t>。</w:t>
      </w:r>
    </w:p>
    <w:p>
      <w:pPr>
        <w:ind w:firstLine="640" w:firstLineChars="200"/>
        <w:rPr>
          <w:rFonts w:hint="eastAsia" w:ascii="仿宋_GB2312" w:eastAsia="仿宋_GB2312"/>
          <w:sz w:val="32"/>
          <w:szCs w:val="32"/>
          <w:highlight w:val="none"/>
          <w:lang w:eastAsia="zh-CN"/>
        </w:rPr>
      </w:pPr>
      <w:r>
        <w:rPr>
          <w:rFonts w:hint="eastAsia" w:ascii="仿宋_GB2312" w:hAnsi="宋体" w:eastAsia="仿宋_GB2312" w:cs="仿宋_GB2312"/>
          <w:color w:val="auto"/>
          <w:kern w:val="2"/>
          <w:sz w:val="32"/>
          <w:szCs w:val="32"/>
          <w:highlight w:val="none"/>
          <w:shd w:val="clear" w:color="auto" w:fill="auto"/>
          <w:lang w:val="en-US" w:eastAsia="zh-CN" w:bidi="ar"/>
        </w:rPr>
        <w:t>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eastAsia="仿宋_GB2312"/>
          <w:sz w:val="32"/>
          <w:szCs w:val="32"/>
          <w:highlight w:val="none"/>
        </w:rPr>
        <w:t>加强学习培训，提高业务水平。大力加强对参与绩效管理人员的专业知识培训，从思想认识到业务能力全面覆盖，重点提高专业知识水平，为提高绩效管理工作水平作好人才准备</w:t>
      </w:r>
      <w:r>
        <w:rPr>
          <w:rFonts w:hint="eastAsia" w:ascii="仿宋_GB2312" w:eastAsia="仿宋_GB2312"/>
          <w:sz w:val="32"/>
          <w:szCs w:val="32"/>
          <w:highlight w:val="none"/>
          <w:lang w:eastAsia="zh-CN"/>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eastAsia="仿宋_GB2312"/>
          <w:sz w:val="32"/>
          <w:szCs w:val="32"/>
          <w:highlight w:val="none"/>
        </w:rPr>
        <w:t>在今后编制预算时，不断完善绩效评价指标，及时调整和优化单位后续项目和以后年度预算支出的方向和结构，合理配置资源，加强财务管理，完善项目管理办法，切实提高项目管理水平、财政资金使用效益和部门工作效率</w:t>
      </w:r>
      <w:r>
        <w:rPr>
          <w:rFonts w:hint="eastAsia" w:ascii="仿宋_GB2312" w:eastAsia="仿宋_GB2312"/>
          <w:sz w:val="32"/>
          <w:szCs w:val="32"/>
          <w:highlight w:val="none"/>
          <w:lang w:eastAsia="zh-CN"/>
        </w:rPr>
        <w:t>。</w:t>
      </w:r>
    </w:p>
    <w:p>
      <w:pPr>
        <w:ind w:firstLine="640" w:firstLineChars="200"/>
        <w:rPr>
          <w:rFonts w:hint="eastAsia" w:ascii="仿宋_GB2312" w:eastAsia="仿宋_GB2312"/>
          <w:sz w:val="32"/>
          <w:szCs w:val="32"/>
          <w:highlight w:val="none"/>
          <w:lang w:val="en-US" w:eastAsia="zh-CN"/>
        </w:rPr>
      </w:pPr>
    </w:p>
    <w:p>
      <w:pPr>
        <w:ind w:firstLine="640" w:firstLineChars="200"/>
        <w:rPr>
          <w:rFonts w:hint="eastAsia" w:ascii="仿宋_GB2312" w:eastAsia="仿宋_GB2312"/>
          <w:sz w:val="32"/>
          <w:szCs w:val="32"/>
          <w:highlight w:val="none"/>
          <w:lang w:val="en-US" w:eastAsia="zh-CN"/>
        </w:rPr>
      </w:pPr>
    </w:p>
    <w:p>
      <w:pPr>
        <w:ind w:firstLine="640" w:firstLineChars="200"/>
        <w:rPr>
          <w:rFonts w:hint="eastAsia" w:ascii="仿宋_GB2312" w:eastAsia="仿宋_GB2312"/>
          <w:sz w:val="32"/>
          <w:szCs w:val="32"/>
          <w:highlight w:val="none"/>
          <w:lang w:val="en-US" w:eastAsia="zh-CN"/>
        </w:rPr>
      </w:pPr>
    </w:p>
    <w:p>
      <w:pPr>
        <w:rPr>
          <w:rFonts w:hint="eastAsia" w:ascii="仿宋_GB2312" w:eastAsia="仿宋_GB2312"/>
          <w:sz w:val="32"/>
          <w:szCs w:val="32"/>
          <w:highlight w:val="none"/>
          <w:lang w:val="en-US" w:eastAsia="zh-CN"/>
        </w:rPr>
      </w:pPr>
    </w:p>
    <w:p>
      <w:pPr>
        <w:ind w:firstLine="640" w:firstLineChars="200"/>
        <w:rPr>
          <w:rFonts w:hint="eastAsia" w:ascii="仿宋_GB2312" w:eastAsia="仿宋_GB2312"/>
          <w:sz w:val="32"/>
          <w:szCs w:val="32"/>
          <w:highlight w:val="none"/>
          <w:lang w:val="en-US" w:eastAsia="zh-CN"/>
        </w:rPr>
      </w:pPr>
    </w:p>
    <w:tbl>
      <w:tblPr>
        <w:tblStyle w:val="2"/>
        <w:tblW w:w="0" w:type="auto"/>
        <w:jc w:val="center"/>
        <w:tblLayout w:type="fixed"/>
        <w:tblCellMar>
          <w:top w:w="0" w:type="dxa"/>
          <w:left w:w="0" w:type="dxa"/>
          <w:bottom w:w="0" w:type="dxa"/>
          <w:right w:w="0" w:type="dxa"/>
        </w:tblCellMar>
      </w:tblPr>
      <w:tblGrid>
        <w:gridCol w:w="708"/>
        <w:gridCol w:w="533"/>
        <w:gridCol w:w="688"/>
        <w:gridCol w:w="561"/>
        <w:gridCol w:w="527"/>
        <w:gridCol w:w="474"/>
        <w:gridCol w:w="467"/>
        <w:gridCol w:w="533"/>
        <w:gridCol w:w="350"/>
        <w:gridCol w:w="303"/>
        <w:gridCol w:w="491"/>
        <w:gridCol w:w="209"/>
        <w:gridCol w:w="551"/>
        <w:gridCol w:w="502"/>
        <w:gridCol w:w="468"/>
        <w:gridCol w:w="264"/>
        <w:gridCol w:w="231"/>
        <w:gridCol w:w="616"/>
        <w:gridCol w:w="6"/>
        <w:gridCol w:w="572"/>
        <w:gridCol w:w="6"/>
      </w:tblGrid>
      <w:tr>
        <w:tblPrEx>
          <w:tblCellMar>
            <w:top w:w="0" w:type="dxa"/>
            <w:left w:w="0" w:type="dxa"/>
            <w:bottom w:w="0" w:type="dxa"/>
            <w:right w:w="0" w:type="dxa"/>
          </w:tblCellMar>
        </w:tblPrEx>
        <w:trPr>
          <w:gridAfter w:val="1"/>
          <w:wAfter w:w="6" w:type="dxa"/>
          <w:trHeight w:val="402" w:hRule="atLeast"/>
          <w:jc w:val="center"/>
        </w:trPr>
        <w:tc>
          <w:tcPr>
            <w:tcW w:w="9054" w:type="dxa"/>
            <w:gridSpan w:val="20"/>
            <w:tcBorders>
              <w:top w:val="nil"/>
              <w:left w:val="nil"/>
              <w:bottom w:val="nil"/>
              <w:right w:val="nil"/>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b/>
                <w:bCs/>
                <w:color w:val="000000"/>
                <w:sz w:val="44"/>
                <w:szCs w:val="44"/>
                <w:highlight w:val="none"/>
              </w:rPr>
              <w:t>部门（单位）整体绩效自评表</w:t>
            </w:r>
          </w:p>
        </w:tc>
      </w:tr>
      <w:tr>
        <w:tblPrEx>
          <w:tblCellMar>
            <w:top w:w="0" w:type="dxa"/>
            <w:left w:w="0" w:type="dxa"/>
            <w:bottom w:w="0" w:type="dxa"/>
            <w:right w:w="0" w:type="dxa"/>
          </w:tblCellMar>
        </w:tblPrEx>
        <w:trPr>
          <w:gridAfter w:val="1"/>
          <w:wAfter w:w="6" w:type="dxa"/>
          <w:trHeight w:val="402" w:hRule="atLeast"/>
          <w:jc w:val="center"/>
        </w:trPr>
        <w:tc>
          <w:tcPr>
            <w:tcW w:w="9054" w:type="dxa"/>
            <w:gridSpan w:val="20"/>
            <w:tcBorders>
              <w:top w:val="nil"/>
              <w:left w:val="nil"/>
              <w:bottom w:val="single" w:color="auto" w:sz="4" w:space="0"/>
              <w:right w:val="nil"/>
            </w:tcBorders>
            <w:noWrap w:val="0"/>
            <w:tcMar>
              <w:top w:w="15" w:type="dxa"/>
              <w:left w:w="15" w:type="dxa"/>
              <w:bottom w:w="0" w:type="dxa"/>
              <w:right w:w="15" w:type="dxa"/>
            </w:tcMar>
            <w:vAlign w:val="center"/>
          </w:tcPr>
          <w:p>
            <w:pPr>
              <w:spacing w:line="560" w:lineRule="exact"/>
              <w:jc w:val="center"/>
              <w:rPr>
                <w:rFonts w:hint="eastAsia" w:ascii="宋体" w:hAnsi="宋体" w:cs="宋体"/>
                <w:b/>
                <w:color w:val="000000"/>
                <w:kern w:val="0"/>
                <w:szCs w:val="21"/>
                <w:highlight w:val="none"/>
              </w:rPr>
            </w:pPr>
            <w:r>
              <w:rPr>
                <w:rFonts w:hint="eastAsia" w:ascii="宋体" w:hAnsi="宋体" w:cs="宋体"/>
                <w:color w:val="000000"/>
                <w:sz w:val="28"/>
                <w:szCs w:val="28"/>
                <w:highlight w:val="none"/>
              </w:rPr>
              <w:t>（</w:t>
            </w:r>
            <w:r>
              <w:rPr>
                <w:rFonts w:hint="eastAsia" w:ascii="宋体" w:hAnsi="宋体" w:cs="宋体"/>
                <w:color w:val="000000"/>
                <w:sz w:val="28"/>
                <w:szCs w:val="28"/>
                <w:highlight w:val="none"/>
                <w:lang w:eastAsia="zh-CN"/>
              </w:rPr>
              <w:t>2</w:t>
            </w:r>
            <w:r>
              <w:rPr>
                <w:rFonts w:hint="eastAsia" w:ascii="宋体" w:hAnsi="宋体" w:cs="宋体"/>
                <w:color w:val="000000"/>
                <w:sz w:val="28"/>
                <w:szCs w:val="28"/>
                <w:highlight w:val="none"/>
                <w:lang w:val="en-US" w:eastAsia="zh-CN"/>
              </w:rPr>
              <w:t>021</w:t>
            </w:r>
            <w:r>
              <w:rPr>
                <w:rFonts w:hint="eastAsia" w:ascii="宋体" w:hAnsi="宋体" w:cs="宋体"/>
                <w:color w:val="000000"/>
                <w:sz w:val="28"/>
                <w:szCs w:val="28"/>
                <w:highlight w:val="none"/>
              </w:rPr>
              <w:t>年度）</w:t>
            </w:r>
          </w:p>
          <w:p>
            <w:pPr>
              <w:spacing w:line="560" w:lineRule="exact"/>
              <w:jc w:val="left"/>
              <w:rPr>
                <w:rFonts w:hint="eastAsia" w:ascii="宋体" w:hAnsi="宋体" w:cs="宋体"/>
                <w:color w:val="000000"/>
                <w:kern w:val="0"/>
                <w:sz w:val="22"/>
                <w:szCs w:val="22"/>
                <w:highlight w:val="none"/>
                <w:lang w:bidi="ar"/>
              </w:rPr>
            </w:pPr>
            <w:r>
              <w:rPr>
                <w:rFonts w:hint="eastAsia" w:ascii="宋体" w:hAnsi="宋体" w:cs="宋体"/>
                <w:b/>
                <w:color w:val="000000"/>
                <w:kern w:val="0"/>
                <w:szCs w:val="21"/>
                <w:highlight w:val="none"/>
              </w:rPr>
              <w:t>填报部门（盖章）：</w:t>
            </w:r>
          </w:p>
        </w:tc>
      </w:tr>
      <w:tr>
        <w:tblPrEx>
          <w:tblCellMar>
            <w:top w:w="0" w:type="dxa"/>
            <w:left w:w="0" w:type="dxa"/>
            <w:bottom w:w="0" w:type="dxa"/>
            <w:right w:w="0" w:type="dxa"/>
          </w:tblCellMar>
        </w:tblPrEx>
        <w:trPr>
          <w:gridAfter w:val="1"/>
          <w:wAfter w:w="6" w:type="dxa"/>
          <w:trHeight w:val="402" w:hRule="atLeast"/>
          <w:jc w:val="center"/>
        </w:trPr>
        <w:tc>
          <w:tcPr>
            <w:tcW w:w="192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color w:val="000000"/>
                <w:sz w:val="22"/>
                <w:szCs w:val="22"/>
                <w:highlight w:val="none"/>
              </w:rPr>
            </w:pPr>
            <w:r>
              <w:rPr>
                <w:rFonts w:hint="eastAsia" w:ascii="宋体" w:hAnsi="宋体" w:cs="宋体"/>
                <w:color w:val="000000"/>
                <w:kern w:val="0"/>
                <w:szCs w:val="21"/>
                <w:highlight w:val="none"/>
              </w:rPr>
              <w:t>部门（单位）名称</w:t>
            </w:r>
          </w:p>
        </w:tc>
        <w:tc>
          <w:tcPr>
            <w:tcW w:w="7125" w:type="dxa"/>
            <w:gridSpan w:val="1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cs="宋体"/>
                <w:color w:val="000000"/>
                <w:sz w:val="22"/>
                <w:szCs w:val="22"/>
                <w:highlight w:val="none"/>
              </w:rPr>
            </w:pPr>
          </w:p>
          <w:p>
            <w:pPr>
              <w:widowControl/>
              <w:jc w:val="center"/>
              <w:rPr>
                <w:rFonts w:hint="eastAsia"/>
                <w:color w:val="000000"/>
                <w:sz w:val="22"/>
                <w:szCs w:val="22"/>
                <w:highlight w:val="none"/>
              </w:rPr>
            </w:pPr>
            <w:r>
              <w:rPr>
                <w:rFonts w:hint="eastAsia" w:ascii="宋体" w:hAnsi="宋体" w:cs="宋体"/>
                <w:color w:val="000000"/>
                <w:kern w:val="0"/>
                <w:szCs w:val="21"/>
                <w:highlight w:val="none"/>
              </w:rPr>
              <w:t>兴隆台区文化旅游和广播电视局　</w:t>
            </w:r>
          </w:p>
        </w:tc>
      </w:tr>
      <w:tr>
        <w:tblPrEx>
          <w:tblCellMar>
            <w:top w:w="0" w:type="dxa"/>
            <w:left w:w="0" w:type="dxa"/>
            <w:bottom w:w="0" w:type="dxa"/>
            <w:right w:w="0" w:type="dxa"/>
          </w:tblCellMar>
        </w:tblPrEx>
        <w:trPr>
          <w:gridAfter w:val="1"/>
          <w:wAfter w:w="6" w:type="dxa"/>
          <w:trHeight w:val="402" w:hRule="atLeast"/>
          <w:jc w:val="center"/>
        </w:trPr>
        <w:tc>
          <w:tcPr>
            <w:tcW w:w="192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部门（单位）</w:t>
            </w:r>
          </w:p>
          <w:p>
            <w:pPr>
              <w:widowControl/>
              <w:jc w:val="center"/>
              <w:rPr>
                <w:rFonts w:hint="eastAsia"/>
                <w:color w:val="000000"/>
                <w:sz w:val="22"/>
                <w:szCs w:val="22"/>
                <w:highlight w:val="none"/>
              </w:rPr>
            </w:pPr>
            <w:r>
              <w:rPr>
                <w:rFonts w:hint="eastAsia" w:ascii="宋体" w:hAnsi="宋体" w:cs="宋体"/>
                <w:color w:val="000000"/>
                <w:kern w:val="0"/>
                <w:szCs w:val="21"/>
                <w:highlight w:val="none"/>
              </w:rPr>
              <w:t>财政供养人员数量</w:t>
            </w:r>
          </w:p>
        </w:tc>
        <w:tc>
          <w:tcPr>
            <w:tcW w:w="446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cs="宋体"/>
                <w:color w:val="000000"/>
                <w:sz w:val="22"/>
                <w:szCs w:val="22"/>
                <w:highlight w:val="none"/>
              </w:rPr>
            </w:pPr>
            <w:r>
              <w:rPr>
                <w:rFonts w:hint="eastAsia" w:ascii="宋体" w:hAnsi="宋体" w:cs="宋体"/>
                <w:color w:val="000000"/>
                <w:kern w:val="0"/>
                <w:szCs w:val="21"/>
                <w:highlight w:val="none"/>
                <w:lang w:val="en-US" w:eastAsia="zh-CN"/>
              </w:rPr>
              <w:t>6</w:t>
            </w:r>
            <w:r>
              <w:rPr>
                <w:rFonts w:hint="eastAsia" w:ascii="宋体" w:hAnsi="宋体" w:cs="宋体"/>
                <w:color w:val="000000"/>
                <w:kern w:val="0"/>
                <w:szCs w:val="21"/>
                <w:highlight w:val="none"/>
              </w:rPr>
              <w:t>　</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所属单位数量（仅部门填列）</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color w:val="000000"/>
                <w:sz w:val="22"/>
                <w:szCs w:val="22"/>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　</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2"/>
                <w:szCs w:val="22"/>
                <w:highlight w:val="none"/>
              </w:rPr>
            </w:pPr>
            <w:r>
              <w:rPr>
                <w:rFonts w:hint="eastAsia" w:ascii="宋体" w:hAnsi="宋体" w:cs="宋体"/>
                <w:color w:val="000000"/>
                <w:kern w:val="0"/>
                <w:szCs w:val="21"/>
                <w:highlight w:val="none"/>
                <w:lang w:bidi="ar"/>
              </w:rPr>
              <w:t>年度部门（单位）整体收支情况               （万元）</w:t>
            </w: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ascii="宋体" w:hAnsi="宋体" w:cs="宋体"/>
                <w:color w:val="000000"/>
                <w:szCs w:val="21"/>
                <w:highlight w:val="none"/>
              </w:rPr>
              <w:t>名 称</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2"/>
                <w:szCs w:val="22"/>
                <w:highlight w:val="none"/>
              </w:rPr>
            </w:pPr>
            <w:r>
              <w:rPr>
                <w:rFonts w:hint="eastAsia"/>
                <w:sz w:val="22"/>
                <w:szCs w:val="22"/>
                <w:highlight w:val="none"/>
              </w:rPr>
              <w:t>年初</w:t>
            </w:r>
          </w:p>
          <w:p>
            <w:pPr>
              <w:jc w:val="center"/>
              <w:rPr>
                <w:rFonts w:hint="eastAsia"/>
                <w:color w:val="000000"/>
                <w:sz w:val="22"/>
                <w:szCs w:val="22"/>
                <w:highlight w:val="none"/>
              </w:rPr>
            </w:pPr>
            <w:r>
              <w:rPr>
                <w:rFonts w:hint="eastAsia"/>
                <w:sz w:val="22"/>
                <w:szCs w:val="22"/>
                <w:highlight w:val="none"/>
              </w:rPr>
              <w:t>预算数</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2"/>
                <w:szCs w:val="22"/>
                <w:highlight w:val="none"/>
              </w:rPr>
            </w:pPr>
            <w:r>
              <w:rPr>
                <w:rFonts w:hint="eastAsia"/>
                <w:sz w:val="22"/>
                <w:szCs w:val="22"/>
                <w:highlight w:val="none"/>
              </w:rPr>
              <w:t>全年</w:t>
            </w:r>
          </w:p>
          <w:p>
            <w:pPr>
              <w:jc w:val="center"/>
              <w:rPr>
                <w:rFonts w:hint="eastAsia"/>
                <w:color w:val="000000"/>
                <w:sz w:val="22"/>
                <w:szCs w:val="22"/>
                <w:highlight w:val="none"/>
              </w:rPr>
            </w:pPr>
            <w:r>
              <w:rPr>
                <w:rFonts w:hint="eastAsia"/>
                <w:sz w:val="22"/>
                <w:szCs w:val="22"/>
                <w:highlight w:val="none"/>
              </w:rPr>
              <w:t>预算数</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全年</w:t>
            </w:r>
          </w:p>
          <w:p>
            <w:pPr>
              <w:jc w:val="center"/>
              <w:rPr>
                <w:rFonts w:hint="eastAsia"/>
                <w:color w:val="000000"/>
                <w:sz w:val="22"/>
                <w:szCs w:val="22"/>
                <w:highlight w:val="none"/>
              </w:rPr>
            </w:pPr>
            <w:r>
              <w:rPr>
                <w:rFonts w:hint="eastAsia"/>
                <w:color w:val="000000"/>
                <w:sz w:val="22"/>
                <w:szCs w:val="22"/>
                <w:highlight w:val="none"/>
              </w:rPr>
              <w:t>执行数</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执行率</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kern w:val="0"/>
                <w:szCs w:val="21"/>
                <w:highlight w:val="none"/>
                <w:lang w:bidi="ar"/>
              </w:rPr>
              <w:t>年度部门预算收入小计</w:t>
            </w:r>
            <w:r>
              <w:rPr>
                <w:rFonts w:hint="eastAsia" w:ascii="宋体" w:hAnsi="宋体" w:cs="宋体"/>
                <w:kern w:val="0"/>
                <w:szCs w:val="21"/>
                <w:highlight w:val="none"/>
              </w:rPr>
              <w:t>（1至7项）</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1273.76</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1273.76</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szCs w:val="21"/>
                <w:highlight w:val="none"/>
              </w:rPr>
            </w:pPr>
            <w:r>
              <w:rPr>
                <w:rFonts w:hint="eastAsia" w:ascii="宋体" w:hAnsi="宋体" w:cs="宋体"/>
                <w:kern w:val="0"/>
                <w:szCs w:val="21"/>
                <w:highlight w:val="none"/>
              </w:rPr>
              <w:t>1.财政拨款收入</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1273.76</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1273.76</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szCs w:val="21"/>
                <w:highlight w:val="none"/>
              </w:rPr>
            </w:pPr>
            <w:r>
              <w:rPr>
                <w:rFonts w:hint="eastAsia" w:ascii="宋体" w:hAnsi="宋体" w:cs="宋体"/>
                <w:kern w:val="0"/>
                <w:szCs w:val="21"/>
                <w:highlight w:val="none"/>
              </w:rPr>
              <w:t>2.中央提前告知转移支付资金</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szCs w:val="21"/>
                <w:highlight w:val="none"/>
              </w:rPr>
            </w:pPr>
            <w:r>
              <w:rPr>
                <w:rFonts w:hint="eastAsia" w:ascii="宋体" w:hAnsi="宋体" w:cs="宋体"/>
                <w:kern w:val="0"/>
                <w:szCs w:val="21"/>
                <w:highlight w:val="none"/>
              </w:rPr>
              <w:t>3.纳入预算管理的行政事业性收费等非税收入</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szCs w:val="21"/>
                <w:highlight w:val="none"/>
              </w:rPr>
            </w:pPr>
            <w:r>
              <w:rPr>
                <w:rFonts w:hint="eastAsia" w:ascii="宋体" w:hAnsi="宋体" w:cs="宋体"/>
                <w:kern w:val="0"/>
                <w:szCs w:val="21"/>
                <w:highlight w:val="none"/>
              </w:rPr>
              <w:t>4.纳入政府性基金预算管理收入</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szCs w:val="21"/>
                <w:highlight w:val="none"/>
              </w:rPr>
            </w:pPr>
            <w:r>
              <w:rPr>
                <w:rFonts w:hint="eastAsia" w:ascii="宋体" w:hAnsi="宋体" w:cs="宋体"/>
                <w:spacing w:val="-8"/>
                <w:kern w:val="0"/>
                <w:szCs w:val="21"/>
                <w:highlight w:val="none"/>
              </w:rPr>
              <w:t>5.纳入专户管理的行政事业性收费等非税收入</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szCs w:val="21"/>
                <w:highlight w:val="none"/>
              </w:rPr>
            </w:pPr>
            <w:r>
              <w:rPr>
                <w:rFonts w:hint="eastAsia" w:ascii="宋体" w:hAnsi="宋体" w:cs="宋体"/>
                <w:kern w:val="0"/>
                <w:szCs w:val="21"/>
                <w:highlight w:val="none"/>
              </w:rPr>
              <w:t>6.上年结转</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szCs w:val="21"/>
                <w:highlight w:val="none"/>
              </w:rPr>
            </w:pPr>
            <w:r>
              <w:rPr>
                <w:rFonts w:hint="eastAsia" w:ascii="宋体" w:hAnsi="宋体" w:cs="宋体"/>
                <w:kern w:val="0"/>
                <w:szCs w:val="21"/>
                <w:highlight w:val="none"/>
              </w:rPr>
              <w:t>7.其他收入</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年度部门预算支出小计（一+二）</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1273.76</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1273.76</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一、基本支出（第1至4项小计）</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73.74</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73.74</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1.工资福利支出</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63.27</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63.27</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2.商品和服务支出</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8.35</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8.35</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3.对个人和家庭的补助</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2.12</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2.12</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4.资本性支出</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1183.02</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1183.02</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二、项目支出（第1至2项小计）</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1200.02</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1200.02</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1.履职保障类（部门经费类）项目支出</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17</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17</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65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2.事业发展类（专项资金类）项目支出</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1183.02</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1183.02</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r>
              <w:rPr>
                <w:rFonts w:hint="eastAsia" w:ascii="宋体" w:hAnsi="宋体" w:cs="宋体"/>
                <w:color w:val="000000"/>
                <w:kern w:val="0"/>
                <w:szCs w:val="21"/>
                <w:highlight w:val="none"/>
              </w:rPr>
              <w:t>年度主要任务</w:t>
            </w: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kern w:val="0"/>
                <w:szCs w:val="21"/>
                <w:highlight w:val="none"/>
              </w:rPr>
            </w:pPr>
            <w:r>
              <w:rPr>
                <w:rFonts w:hint="eastAsia" w:ascii="宋体" w:hAnsi="宋体" w:cs="宋体"/>
                <w:color w:val="000000"/>
                <w:kern w:val="0"/>
                <w:szCs w:val="21"/>
                <w:highlight w:val="none"/>
              </w:rPr>
              <w:t>工作名称</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kern w:val="0"/>
                <w:szCs w:val="21"/>
                <w:highlight w:val="none"/>
              </w:rPr>
            </w:pPr>
            <w:r>
              <w:rPr>
                <w:rFonts w:hint="eastAsia" w:ascii="宋体" w:hAnsi="宋体" w:cs="宋体"/>
                <w:color w:val="000000"/>
                <w:kern w:val="0"/>
                <w:szCs w:val="21"/>
                <w:highlight w:val="none"/>
              </w:rPr>
              <w:t>对应项目</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2"/>
                <w:szCs w:val="22"/>
                <w:highlight w:val="none"/>
              </w:rPr>
            </w:pPr>
            <w:r>
              <w:rPr>
                <w:rFonts w:hint="eastAsia"/>
                <w:sz w:val="22"/>
                <w:szCs w:val="22"/>
                <w:highlight w:val="none"/>
              </w:rPr>
              <w:t>年初</w:t>
            </w:r>
          </w:p>
          <w:p>
            <w:pPr>
              <w:jc w:val="center"/>
              <w:rPr>
                <w:rFonts w:hint="eastAsia"/>
                <w:sz w:val="22"/>
                <w:szCs w:val="22"/>
                <w:highlight w:val="none"/>
              </w:rPr>
            </w:pPr>
            <w:r>
              <w:rPr>
                <w:rFonts w:hint="eastAsia"/>
                <w:sz w:val="22"/>
                <w:szCs w:val="22"/>
                <w:highlight w:val="none"/>
              </w:rPr>
              <w:t>预算数</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2"/>
                <w:szCs w:val="22"/>
                <w:highlight w:val="none"/>
              </w:rPr>
            </w:pPr>
            <w:r>
              <w:rPr>
                <w:rFonts w:hint="eastAsia"/>
                <w:sz w:val="22"/>
                <w:szCs w:val="22"/>
                <w:highlight w:val="none"/>
              </w:rPr>
              <w:t>全年</w:t>
            </w:r>
          </w:p>
          <w:p>
            <w:pPr>
              <w:jc w:val="center"/>
              <w:rPr>
                <w:rFonts w:hint="eastAsia"/>
                <w:sz w:val="22"/>
                <w:szCs w:val="22"/>
                <w:highlight w:val="none"/>
              </w:rPr>
            </w:pPr>
            <w:r>
              <w:rPr>
                <w:rFonts w:hint="eastAsia"/>
                <w:sz w:val="22"/>
                <w:szCs w:val="22"/>
                <w:highlight w:val="none"/>
              </w:rPr>
              <w:t>预算数</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2"/>
                <w:szCs w:val="22"/>
                <w:highlight w:val="none"/>
              </w:rPr>
            </w:pPr>
            <w:r>
              <w:rPr>
                <w:rFonts w:hint="eastAsia"/>
                <w:sz w:val="22"/>
                <w:szCs w:val="22"/>
                <w:highlight w:val="none"/>
              </w:rPr>
              <w:t>全年</w:t>
            </w:r>
          </w:p>
          <w:p>
            <w:pPr>
              <w:jc w:val="center"/>
              <w:rPr>
                <w:rFonts w:hint="eastAsia"/>
                <w:sz w:val="22"/>
                <w:szCs w:val="22"/>
                <w:highlight w:val="none"/>
              </w:rPr>
            </w:pPr>
            <w:r>
              <w:rPr>
                <w:rFonts w:hint="eastAsia"/>
                <w:sz w:val="22"/>
                <w:szCs w:val="22"/>
                <w:highlight w:val="none"/>
              </w:rPr>
              <w:t>执行数</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执行率</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kern w:val="0"/>
                <w:szCs w:val="21"/>
                <w:highlight w:val="none"/>
              </w:rPr>
            </w:pPr>
            <w:r>
              <w:rPr>
                <w:rFonts w:hint="eastAsia" w:ascii="宋体" w:hAnsi="宋体" w:cs="宋体"/>
                <w:color w:val="000000"/>
                <w:kern w:val="0"/>
                <w:szCs w:val="21"/>
                <w:highlight w:val="none"/>
              </w:rPr>
              <w:t>重点工作一</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kern w:val="0"/>
                <w:szCs w:val="21"/>
                <w:highlight w:val="none"/>
              </w:rPr>
            </w:pPr>
            <w:r>
              <w:rPr>
                <w:rFonts w:hint="eastAsia"/>
                <w:color w:val="000000"/>
                <w:highlight w:val="none"/>
              </w:rPr>
              <w:t>楹联书法博物馆工程项目建设费</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900</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200</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22%</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kern w:val="0"/>
                <w:szCs w:val="21"/>
                <w:highlight w:val="none"/>
              </w:rPr>
            </w:pPr>
            <w:r>
              <w:rPr>
                <w:rFonts w:hint="eastAsia" w:ascii="宋体" w:hAnsi="宋体" w:cs="宋体"/>
                <w:color w:val="000000"/>
                <w:kern w:val="0"/>
                <w:szCs w:val="21"/>
                <w:highlight w:val="none"/>
              </w:rPr>
              <w:t>重点工作二</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kern w:val="0"/>
                <w:szCs w:val="21"/>
                <w:highlight w:val="none"/>
              </w:rPr>
            </w:pP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kern w:val="0"/>
                <w:szCs w:val="21"/>
                <w:highlight w:val="none"/>
              </w:rPr>
            </w:pPr>
            <w:r>
              <w:rPr>
                <w:rFonts w:hint="eastAsia"/>
                <w:color w:val="000000"/>
                <w:sz w:val="22"/>
                <w:szCs w:val="22"/>
                <w:highlight w:val="none"/>
              </w:rPr>
              <w:t>合计</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kern w:val="0"/>
                <w:szCs w:val="21"/>
                <w:highlight w:val="none"/>
              </w:rPr>
            </w:pP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900</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200</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22%</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年度绩效目标　</w:t>
            </w: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年初设定</w:t>
            </w:r>
          </w:p>
          <w:p>
            <w:pPr>
              <w:jc w:val="center"/>
              <w:rPr>
                <w:rFonts w:hint="eastAsia"/>
                <w:color w:val="000000"/>
                <w:sz w:val="22"/>
                <w:szCs w:val="22"/>
                <w:highlight w:val="none"/>
              </w:rPr>
            </w:pPr>
            <w:r>
              <w:rPr>
                <w:rFonts w:hint="eastAsia"/>
                <w:color w:val="000000"/>
                <w:sz w:val="22"/>
                <w:szCs w:val="22"/>
                <w:highlight w:val="none"/>
              </w:rPr>
              <w:t>目标</w:t>
            </w:r>
          </w:p>
        </w:tc>
        <w:tc>
          <w:tcPr>
            <w:tcW w:w="7125" w:type="dxa"/>
            <w:gridSpan w:val="1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全年完成情况</w:t>
            </w:r>
          </w:p>
        </w:tc>
      </w:tr>
      <w:tr>
        <w:tblPrEx>
          <w:tblCellMar>
            <w:top w:w="0" w:type="dxa"/>
            <w:left w:w="0" w:type="dxa"/>
            <w:bottom w:w="0" w:type="dxa"/>
            <w:right w:w="0" w:type="dxa"/>
          </w:tblCellMar>
        </w:tblPrEx>
        <w:trPr>
          <w:gridAfter w:val="1"/>
          <w:wAfter w:w="6" w:type="dxa"/>
          <w:trHeight w:val="43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rFonts w:hint="eastAsia"/>
                <w:color w:val="000000"/>
                <w:sz w:val="22"/>
                <w:szCs w:val="22"/>
                <w:highlight w:val="none"/>
              </w:rPr>
            </w:pPr>
            <w:r>
              <w:rPr>
                <w:rFonts w:hint="eastAsia" w:ascii="宋体" w:hAnsi="宋体" w:cs="宋体"/>
                <w:color w:val="000000"/>
                <w:kern w:val="0"/>
                <w:szCs w:val="21"/>
                <w:highlight w:val="none"/>
                <w:lang w:bidi="ar"/>
              </w:rPr>
              <w:t>目标1：</w:t>
            </w:r>
          </w:p>
        </w:tc>
        <w:tc>
          <w:tcPr>
            <w:tcW w:w="7125" w:type="dxa"/>
            <w:gridSpan w:val="1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highlight w:val="none"/>
              </w:rPr>
              <w:t>楹联书法博物馆工程项目建设费</w:t>
            </w:r>
          </w:p>
        </w:tc>
      </w:tr>
      <w:tr>
        <w:tblPrEx>
          <w:tblCellMar>
            <w:top w:w="0" w:type="dxa"/>
            <w:left w:w="0" w:type="dxa"/>
            <w:bottom w:w="0" w:type="dxa"/>
            <w:right w:w="0" w:type="dxa"/>
          </w:tblCellMar>
        </w:tblPrEx>
        <w:trPr>
          <w:gridAfter w:val="1"/>
          <w:wAfter w:w="6" w:type="dxa"/>
          <w:trHeight w:val="43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rFonts w:hint="eastAsia"/>
                <w:color w:val="000000"/>
                <w:sz w:val="22"/>
                <w:szCs w:val="22"/>
                <w:highlight w:val="none"/>
              </w:rPr>
            </w:pPr>
            <w:r>
              <w:rPr>
                <w:rFonts w:hint="eastAsia" w:ascii="宋体" w:hAnsi="宋体" w:cs="宋体"/>
                <w:color w:val="000000"/>
                <w:kern w:val="0"/>
                <w:szCs w:val="21"/>
                <w:highlight w:val="none"/>
                <w:lang w:bidi="ar"/>
              </w:rPr>
              <w:t>目标2：</w:t>
            </w:r>
          </w:p>
        </w:tc>
        <w:tc>
          <w:tcPr>
            <w:tcW w:w="7125" w:type="dxa"/>
            <w:gridSpan w:val="1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9054"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分解目标评价</w:t>
            </w:r>
          </w:p>
        </w:tc>
      </w:tr>
      <w:tr>
        <w:tblPrEx>
          <w:tblCellMar>
            <w:top w:w="0" w:type="dxa"/>
            <w:left w:w="0" w:type="dxa"/>
            <w:bottom w:w="0" w:type="dxa"/>
            <w:right w:w="0" w:type="dxa"/>
          </w:tblCellMar>
        </w:tblPrEx>
        <w:trPr>
          <w:gridAfter w:val="1"/>
          <w:wAfter w:w="6" w:type="dxa"/>
          <w:trHeight w:val="809"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一级</w:t>
            </w:r>
          </w:p>
          <w:p>
            <w:pPr>
              <w:jc w:val="center"/>
              <w:rPr>
                <w:rFonts w:hint="eastAsia" w:ascii="宋体" w:hAnsi="宋体" w:cs="宋体"/>
                <w:color w:val="000000"/>
                <w:sz w:val="22"/>
                <w:szCs w:val="22"/>
                <w:highlight w:val="none"/>
              </w:rPr>
            </w:pPr>
            <w:r>
              <w:rPr>
                <w:rFonts w:hint="eastAsia"/>
                <w:color w:val="000000"/>
                <w:sz w:val="22"/>
                <w:szCs w:val="22"/>
                <w:highlight w:val="none"/>
              </w:rPr>
              <w:t>指标</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二级</w:t>
            </w:r>
          </w:p>
          <w:p>
            <w:pPr>
              <w:jc w:val="center"/>
              <w:rPr>
                <w:rFonts w:ascii="宋体" w:hAnsi="宋体" w:cs="宋体"/>
                <w:color w:val="000000"/>
                <w:sz w:val="22"/>
                <w:szCs w:val="22"/>
                <w:highlight w:val="none"/>
              </w:rPr>
            </w:pPr>
            <w:r>
              <w:rPr>
                <w:rFonts w:hint="eastAsia"/>
                <w:color w:val="000000"/>
                <w:sz w:val="22"/>
                <w:szCs w:val="22"/>
                <w:highlight w:val="none"/>
              </w:rPr>
              <w:t>指标</w:t>
            </w:r>
          </w:p>
        </w:tc>
        <w:tc>
          <w:tcPr>
            <w:tcW w:w="68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三级</w:t>
            </w:r>
          </w:p>
          <w:p>
            <w:pPr>
              <w:jc w:val="center"/>
              <w:rPr>
                <w:rFonts w:hint="eastAsia"/>
                <w:color w:val="000000"/>
                <w:sz w:val="22"/>
                <w:szCs w:val="22"/>
                <w:highlight w:val="none"/>
              </w:rPr>
            </w:pPr>
            <w:r>
              <w:rPr>
                <w:rFonts w:hint="eastAsia"/>
                <w:color w:val="000000"/>
                <w:sz w:val="22"/>
                <w:szCs w:val="22"/>
                <w:highlight w:val="none"/>
              </w:rPr>
              <w:t>指标</w:t>
            </w:r>
          </w:p>
        </w:tc>
        <w:tc>
          <w:tcPr>
            <w:tcW w:w="156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年度</w:t>
            </w:r>
          </w:p>
          <w:p>
            <w:pPr>
              <w:jc w:val="center"/>
              <w:rPr>
                <w:rFonts w:hint="eastAsia"/>
                <w:color w:val="000000"/>
                <w:sz w:val="22"/>
                <w:szCs w:val="22"/>
                <w:highlight w:val="none"/>
              </w:rPr>
            </w:pPr>
            <w:r>
              <w:rPr>
                <w:rFonts w:hint="eastAsia"/>
                <w:color w:val="000000"/>
                <w:sz w:val="22"/>
                <w:szCs w:val="22"/>
                <w:highlight w:val="none"/>
              </w:rPr>
              <w:t>指标值</w:t>
            </w:r>
          </w:p>
        </w:tc>
        <w:tc>
          <w:tcPr>
            <w:tcW w:w="4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全年完成值</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完成</w:t>
            </w:r>
          </w:p>
          <w:p>
            <w:pPr>
              <w:jc w:val="center"/>
              <w:rPr>
                <w:rFonts w:hint="eastAsia"/>
                <w:color w:val="000000"/>
                <w:sz w:val="22"/>
                <w:szCs w:val="22"/>
                <w:highlight w:val="none"/>
              </w:rPr>
            </w:pPr>
            <w:r>
              <w:rPr>
                <w:rFonts w:hint="eastAsia"/>
                <w:color w:val="000000"/>
                <w:sz w:val="22"/>
                <w:szCs w:val="22"/>
                <w:highlight w:val="none"/>
              </w:rPr>
              <w:t>程度</w:t>
            </w:r>
          </w:p>
        </w:tc>
        <w:tc>
          <w:tcPr>
            <w:tcW w:w="3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分值</w:t>
            </w:r>
          </w:p>
        </w:tc>
        <w:tc>
          <w:tcPr>
            <w:tcW w:w="30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000000"/>
                <w:sz w:val="22"/>
                <w:szCs w:val="22"/>
                <w:highlight w:val="none"/>
              </w:rPr>
            </w:pPr>
            <w:r>
              <w:rPr>
                <w:rFonts w:hint="eastAsia" w:ascii="宋体" w:hAnsi="宋体" w:cs="宋体"/>
                <w:color w:val="000000"/>
                <w:sz w:val="22"/>
                <w:szCs w:val="22"/>
                <w:highlight w:val="none"/>
              </w:rPr>
              <w:t>得分</w:t>
            </w:r>
          </w:p>
        </w:tc>
        <w:tc>
          <w:tcPr>
            <w:tcW w:w="3332"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未完成原因</w:t>
            </w:r>
          </w:p>
          <w:p>
            <w:pPr>
              <w:jc w:val="center"/>
              <w:rPr>
                <w:rFonts w:hint="eastAsia" w:ascii="宋体" w:hAnsi="宋体" w:cs="宋体"/>
                <w:color w:val="000000"/>
                <w:kern w:val="0"/>
                <w:sz w:val="20"/>
                <w:szCs w:val="20"/>
                <w:highlight w:val="none"/>
                <w:lang w:bidi="ar"/>
              </w:rPr>
            </w:pPr>
            <w:r>
              <w:rPr>
                <w:rFonts w:hint="eastAsia" w:ascii="宋体" w:hAnsi="宋体" w:cs="宋体"/>
                <w:color w:val="000000"/>
                <w:kern w:val="0"/>
                <w:szCs w:val="21"/>
                <w:highlight w:val="none"/>
                <w:lang w:bidi="ar"/>
              </w:rPr>
              <w:t>（请在相应选项下划“√”并在原因说明中分项阐述）</w:t>
            </w:r>
          </w:p>
        </w:tc>
        <w:tc>
          <w:tcPr>
            <w:tcW w:w="578"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改进措施</w:t>
            </w:r>
          </w:p>
        </w:tc>
      </w:tr>
      <w:tr>
        <w:tblPrEx>
          <w:tblCellMar>
            <w:top w:w="0" w:type="dxa"/>
            <w:left w:w="0" w:type="dxa"/>
            <w:bottom w:w="0" w:type="dxa"/>
            <w:right w:w="0" w:type="dxa"/>
          </w:tblCellMar>
        </w:tblPrEx>
        <w:trPr>
          <w:gridAfter w:val="1"/>
          <w:wAfter w:w="6" w:type="dxa"/>
          <w:trHeight w:val="80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运算符号</w:t>
            </w: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内容</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度量单位</w:t>
            </w:r>
          </w:p>
        </w:tc>
        <w:tc>
          <w:tcPr>
            <w:tcW w:w="4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000000"/>
                <w:sz w:val="22"/>
                <w:szCs w:val="22"/>
                <w:highlight w:val="none"/>
              </w:rPr>
            </w:pPr>
          </w:p>
        </w:tc>
        <w:tc>
          <w:tcPr>
            <w:tcW w:w="30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000000"/>
                <w:sz w:val="22"/>
                <w:szCs w:val="22"/>
                <w:highlight w:val="none"/>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经费</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制度</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人员</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硬件条件保障</w:t>
            </w: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其他</w:t>
            </w:r>
          </w:p>
        </w:tc>
        <w:tc>
          <w:tcPr>
            <w:tcW w:w="6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原因</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说明</w:t>
            </w:r>
          </w:p>
        </w:tc>
        <w:tc>
          <w:tcPr>
            <w:tcW w:w="578"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80"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履职</w:t>
            </w:r>
          </w:p>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效能</w:t>
            </w:r>
          </w:p>
          <w:p>
            <w:pPr>
              <w:widowControl/>
              <w:jc w:val="center"/>
              <w:rPr>
                <w:rFonts w:hint="eastAsia" w:ascii="宋体" w:hAnsi="宋体" w:cs="宋体"/>
                <w:color w:val="000000"/>
                <w:kern w:val="0"/>
                <w:szCs w:val="21"/>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kern w:val="0"/>
                <w:szCs w:val="21"/>
                <w:highlight w:val="none"/>
              </w:rPr>
              <w:t>重点工作履行情况</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重点工作办结率</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10</w:t>
            </w:r>
            <w:r>
              <w:rPr>
                <w:rFonts w:hint="eastAsia"/>
                <w:color w:val="000000"/>
                <w:sz w:val="22"/>
                <w:szCs w:val="22"/>
                <w:highlight w:val="none"/>
              </w:rPr>
              <w:t>　</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10</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39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80"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整体工作完成情况</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整体工作完成率</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10</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10</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3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eastAsia="宋体" w:cs="宋体"/>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8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基础管理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活动完成率</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10</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10</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5"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w:t>
            </w:r>
          </w:p>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Cs w:val="21"/>
                <w:highlight w:val="none"/>
              </w:rPr>
              <w:t>执行</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Cs w:val="21"/>
                <w:highlight w:val="none"/>
              </w:rPr>
              <w:t>预算执行效率</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资金拨付率</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10</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8</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345"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管理</w:t>
            </w:r>
          </w:p>
          <w:p>
            <w:pPr>
              <w:jc w:val="center"/>
              <w:rPr>
                <w:rFonts w:ascii="宋体" w:hAnsi="宋体" w:cs="宋体"/>
                <w:color w:val="000000"/>
                <w:sz w:val="22"/>
                <w:szCs w:val="22"/>
                <w:highlight w:val="none"/>
              </w:rPr>
            </w:pPr>
            <w:r>
              <w:rPr>
                <w:rFonts w:hint="eastAsia" w:ascii="宋体" w:hAnsi="宋体" w:cs="宋体"/>
                <w:color w:val="000000"/>
                <w:kern w:val="0"/>
                <w:szCs w:val="21"/>
                <w:highlight w:val="none"/>
                <w:lang w:bidi="ar"/>
              </w:rPr>
              <w:t>效率</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Cs w:val="21"/>
                <w:highlight w:val="none"/>
              </w:rPr>
              <w:t>预算编制管理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完成情况</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完整</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2</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2</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highlight w:val="none"/>
                <w:lang w:bidi="ar"/>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Cs w:val="21"/>
                <w:highlight w:val="none"/>
              </w:rPr>
              <w:t>预算监督管理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信息分开程度</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eastAsia="zh-CN"/>
              </w:rPr>
              <w:t>及时</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2</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2</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预算收支</w:t>
            </w:r>
          </w:p>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财政收入合法合规</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eastAsia="zh-CN"/>
              </w:rPr>
              <w:t>准确</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2</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2</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财务管理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银行账户管理规范</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7</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7</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ascii="宋体" w:hAnsi="宋体" w:cs="宋体"/>
                <w:szCs w:val="21"/>
                <w:highlight w:val="none"/>
              </w:rPr>
              <w:t>资产管理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国库支付违规操作次数</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次</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color w:val="000000"/>
                <w:sz w:val="22"/>
                <w:szCs w:val="22"/>
                <w:highlight w:val="none"/>
              </w:rPr>
              <w:t>　</w:t>
            </w:r>
            <w:r>
              <w:rPr>
                <w:rFonts w:hint="eastAsia"/>
                <w:color w:val="000000"/>
                <w:sz w:val="22"/>
                <w:szCs w:val="22"/>
                <w:highlight w:val="none"/>
                <w:lang w:val="en-US" w:eastAsia="zh-CN"/>
              </w:rPr>
              <w:t>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1</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ascii="宋体" w:hAnsi="宋体" w:cs="宋体"/>
                <w:color w:val="000000"/>
                <w:kern w:val="0"/>
                <w:szCs w:val="21"/>
                <w:highlight w:val="none"/>
              </w:rPr>
              <w:t>业务</w:t>
            </w:r>
            <w:r>
              <w:rPr>
                <w:rFonts w:hint="eastAsia" w:ascii="宋体" w:hAnsi="宋体" w:cs="宋体"/>
                <w:szCs w:val="21"/>
                <w:highlight w:val="none"/>
              </w:rPr>
              <w:t>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政府采购执行率、内控制度有效性</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次</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color w:val="000000"/>
                <w:sz w:val="22"/>
                <w:szCs w:val="22"/>
                <w:highlight w:val="none"/>
              </w:rPr>
              <w:t>　</w:t>
            </w:r>
            <w:r>
              <w:rPr>
                <w:rFonts w:hint="eastAsia"/>
                <w:color w:val="000000"/>
                <w:sz w:val="22"/>
                <w:szCs w:val="22"/>
                <w:highlight w:val="none"/>
                <w:lang w:val="en-US" w:eastAsia="zh-CN"/>
              </w:rPr>
              <w:t>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1</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524"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运行</w:t>
            </w:r>
          </w:p>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成本</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成本控制成效</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r>
              <w:rPr>
                <w:rFonts w:hint="eastAsia"/>
                <w:color w:val="000000"/>
                <w:highlight w:val="none"/>
                <w:lang w:eastAsia="zh-CN"/>
              </w:rPr>
              <w:t>经费支出规范性</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10</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10</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524"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67"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社会</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效应</w:t>
            </w: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社会</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效应</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szCs w:val="21"/>
                <w:highlight w:val="none"/>
              </w:rPr>
              <w:t>政治效益</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5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highlight w:val="none"/>
                <w:lang w:bidi="ar"/>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ascii="宋体" w:hAnsi="宋体" w:cs="宋体"/>
                <w:szCs w:val="21"/>
                <w:highlight w:val="none"/>
              </w:rPr>
              <w:t>社会效益</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丰富群众文化生活</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次</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w:t>
            </w: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eastAsia="zh-CN"/>
              </w:rPr>
              <w:t>满意</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10</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8</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500"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r>
              <w:rPr>
                <w:rFonts w:hint="eastAsia" w:ascii="宋体" w:hAnsi="宋体" w:cs="宋体"/>
                <w:szCs w:val="21"/>
                <w:highlight w:val="none"/>
              </w:rPr>
              <w:t>经济效益</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s="Times New Roman"/>
                <w:color w:val="000000"/>
                <w:kern w:val="2"/>
                <w:sz w:val="21"/>
                <w:szCs w:val="24"/>
                <w:highlight w:val="none"/>
                <w:lang w:val="en-US" w:eastAsia="zh-CN" w:bidi="ar-SA"/>
              </w:rPr>
              <w:t>资源分配</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5</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3</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szCs w:val="21"/>
                <w:highlight w:val="none"/>
              </w:rPr>
              <w:t>生态效益</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资源利用</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w:t>
            </w: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5</w:t>
            </w:r>
            <w:r>
              <w:rPr>
                <w:rFonts w:hint="eastAsia"/>
                <w:color w:val="000000"/>
                <w:sz w:val="22"/>
                <w:szCs w:val="22"/>
                <w:highlight w:val="none"/>
              </w:rPr>
              <w:t>　</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2</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ascii="宋体" w:hAnsi="宋体" w:cs="宋体"/>
                <w:szCs w:val="21"/>
                <w:highlight w:val="none"/>
              </w:rPr>
              <w:t>服务对象满意度</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满意成度</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次</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w:t>
            </w: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eastAsia="zh-CN"/>
              </w:rPr>
              <w:t>满意</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5</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5</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可持</w:t>
            </w:r>
          </w:p>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续性</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ascii="宋体" w:hAnsi="宋体" w:cs="宋体"/>
                <w:szCs w:val="21"/>
                <w:highlight w:val="none"/>
              </w:rPr>
              <w:t>体制机制改革</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建立建全</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w:t>
            </w: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10</w:t>
            </w:r>
            <w:r>
              <w:rPr>
                <w:rFonts w:hint="eastAsia"/>
                <w:color w:val="000000"/>
                <w:sz w:val="22"/>
                <w:szCs w:val="22"/>
                <w:highlight w:val="none"/>
              </w:rPr>
              <w:t>　</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10</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0" w:firstLineChars="0"/>
              <w:jc w:val="center"/>
              <w:rPr>
                <w:rFonts w:ascii="宋体" w:hAnsi="宋体" w:eastAsia="宋体" w:cs="宋体"/>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eastAsia="宋体" w:cs="宋体"/>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ascii="宋体" w:hAnsi="宋体" w:cs="宋体"/>
                <w:szCs w:val="21"/>
                <w:highlight w:val="none"/>
              </w:rPr>
              <w:t>创新驱动发展</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sz w:val="22"/>
                <w:szCs w:val="22"/>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4491"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r>
              <w:rPr>
                <w:rFonts w:hint="eastAsia"/>
                <w:color w:val="000000"/>
                <w:sz w:val="22"/>
                <w:szCs w:val="22"/>
                <w:highlight w:val="none"/>
              </w:rPr>
              <w:t>总评价得分</w:t>
            </w:r>
          </w:p>
        </w:tc>
        <w:tc>
          <w:tcPr>
            <w:tcW w:w="4563" w:type="dxa"/>
            <w:gridSpan w:val="1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91</w:t>
            </w:r>
          </w:p>
        </w:tc>
      </w:tr>
      <w:tr>
        <w:tblPrEx>
          <w:tblCellMar>
            <w:top w:w="0" w:type="dxa"/>
            <w:left w:w="0" w:type="dxa"/>
            <w:bottom w:w="0" w:type="dxa"/>
            <w:right w:w="0" w:type="dxa"/>
          </w:tblCellMar>
        </w:tblPrEx>
        <w:trPr>
          <w:gridAfter w:val="1"/>
          <w:wAfter w:w="6" w:type="dxa"/>
          <w:trHeight w:val="40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0"/>
                <w:szCs w:val="20"/>
                <w:highlight w:val="none"/>
                <w:lang w:bidi="ar"/>
              </w:rPr>
              <w:t>说明</w:t>
            </w:r>
          </w:p>
        </w:tc>
        <w:tc>
          <w:tcPr>
            <w:tcW w:w="8346"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color w:val="000000"/>
                <w:sz w:val="22"/>
                <w:szCs w:val="22"/>
                <w:highlight w:val="none"/>
              </w:rPr>
            </w:pPr>
            <w:r>
              <w:rPr>
                <w:rFonts w:hint="eastAsia" w:ascii="宋体" w:hAnsi="宋体" w:cs="宋体"/>
                <w:color w:val="000000"/>
                <w:kern w:val="0"/>
                <w:sz w:val="20"/>
                <w:szCs w:val="20"/>
                <w:highlight w:val="none"/>
                <w:lang w:bidi="ar"/>
              </w:rPr>
              <w:t>请在此处简要说明各级审计和财政监督检查中发现的问题及其所涉及的金额，如没有请填无。</w:t>
            </w:r>
          </w:p>
        </w:tc>
      </w:tr>
      <w:tr>
        <w:tblPrEx>
          <w:tblCellMar>
            <w:top w:w="0" w:type="dxa"/>
            <w:left w:w="0" w:type="dxa"/>
            <w:bottom w:w="0" w:type="dxa"/>
            <w:right w:w="0" w:type="dxa"/>
          </w:tblCellMar>
        </w:tblPrEx>
        <w:trPr>
          <w:gridAfter w:val="1"/>
          <w:wAfter w:w="6" w:type="dxa"/>
          <w:trHeight w:val="89"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结果应用建议</w:t>
            </w:r>
          </w:p>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Cs w:val="21"/>
                <w:highlight w:val="none"/>
                <w:lang w:bidi="ar"/>
              </w:rPr>
              <w:t>（请在相应选项</w:t>
            </w:r>
            <w:r>
              <w:rPr>
                <w:rFonts w:hint="eastAsia" w:ascii="宋体" w:hAnsi="宋体" w:cs="宋体"/>
                <w:color w:val="000000"/>
                <w:szCs w:val="21"/>
                <w:highlight w:val="none"/>
              </w:rPr>
              <w:t>□内</w:t>
            </w:r>
            <w:r>
              <w:rPr>
                <w:rFonts w:hint="eastAsia" w:ascii="宋体" w:hAnsi="宋体" w:cs="宋体"/>
                <w:color w:val="000000"/>
                <w:kern w:val="0"/>
                <w:szCs w:val="21"/>
                <w:highlight w:val="none"/>
                <w:lang w:bidi="ar"/>
              </w:rPr>
              <w:t>划“√”并在“具体建议内容”栏阐述）</w:t>
            </w: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r>
              <w:rPr>
                <w:rFonts w:hint="eastAsia" w:ascii="宋体" w:hAnsi="宋体" w:cs="宋体"/>
                <w:color w:val="000000"/>
                <w:szCs w:val="21"/>
                <w:highlight w:val="none"/>
              </w:rPr>
              <w:t>结果应用建议选项</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color w:val="000000"/>
                <w:szCs w:val="21"/>
                <w:highlight w:val="none"/>
              </w:rPr>
            </w:pPr>
            <w:r>
              <w:rPr>
                <w:rFonts w:hint="eastAsia" w:ascii="宋体" w:hAnsi="宋体" w:cs="宋体"/>
                <w:color w:val="000000"/>
                <w:szCs w:val="21"/>
                <w:highlight w:val="none"/>
              </w:rPr>
              <w:t>具体建议内容</w:t>
            </w:r>
          </w:p>
        </w:tc>
      </w:tr>
      <w:tr>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r>
              <w:rPr>
                <w:rFonts w:hint="eastAsia" w:ascii="宋体" w:hAnsi="宋体" w:cs="宋体"/>
                <w:color w:val="000000"/>
                <w:szCs w:val="21"/>
                <w:highlight w:val="none"/>
              </w:rPr>
              <w:t>□建议进一步规范预算管理</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r>
              <w:rPr>
                <w:rFonts w:hint="eastAsia" w:ascii="宋体" w:hAnsi="宋体" w:cs="宋体"/>
                <w:color w:val="000000"/>
                <w:szCs w:val="21"/>
                <w:highlight w:val="none"/>
              </w:rPr>
              <w:t>□建议改进业务管理</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10"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r>
              <w:rPr>
                <w:rFonts w:hint="eastAsia" w:ascii="宋体" w:hAnsi="宋体" w:cs="宋体"/>
                <w:color w:val="000000"/>
                <w:szCs w:val="21"/>
                <w:highlight w:val="none"/>
              </w:rPr>
              <w:t>□建议改进预算编制管理</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r>
              <w:rPr>
                <w:rFonts w:hint="eastAsia" w:ascii="宋体" w:hAnsi="宋体" w:cs="宋体"/>
                <w:color w:val="000000"/>
                <w:szCs w:val="21"/>
                <w:highlight w:val="none"/>
              </w:rPr>
              <w:t>□建议进一步提升预算执行效率和效益</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r>
              <w:rPr>
                <w:rFonts w:hint="eastAsia" w:ascii="宋体" w:hAnsi="宋体" w:cs="宋体"/>
                <w:color w:val="000000"/>
                <w:szCs w:val="21"/>
                <w:highlight w:val="none"/>
              </w:rPr>
              <w:t>□建议改进资产管理</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r>
              <w:rPr>
                <w:rFonts w:hint="eastAsia" w:ascii="宋体" w:hAnsi="宋体" w:cs="宋体"/>
                <w:color w:val="000000"/>
                <w:szCs w:val="21"/>
                <w:highlight w:val="none"/>
              </w:rPr>
              <w:t>□建议改进政府采购管理</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35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r>
              <w:rPr>
                <w:rFonts w:hint="eastAsia" w:ascii="宋体" w:hAnsi="宋体" w:cs="宋体"/>
                <w:color w:val="000000"/>
                <w:szCs w:val="21"/>
                <w:highlight w:val="none"/>
              </w:rPr>
              <w:t>□建议</w:t>
            </w:r>
            <w:r>
              <w:rPr>
                <w:rFonts w:hint="eastAsia" w:ascii="宋体" w:hAnsi="宋体" w:cs="宋体"/>
                <w:color w:val="000000"/>
                <w:kern w:val="0"/>
                <w:szCs w:val="21"/>
                <w:highlight w:val="none"/>
                <w:lang w:bidi="ar"/>
              </w:rPr>
              <w:t>调整公共服务标准</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建议核减下一年度经费数额</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建议削减低效</w:t>
            </w:r>
            <w:r>
              <w:rPr>
                <w:rFonts w:ascii="宋体" w:hAnsi="宋体" w:cs="宋体"/>
                <w:color w:val="000000"/>
                <w:kern w:val="0"/>
                <w:szCs w:val="21"/>
                <w:highlight w:val="none"/>
                <w:lang w:bidi="ar"/>
              </w:rPr>
              <w:t>、</w:t>
            </w:r>
            <w:r>
              <w:rPr>
                <w:rFonts w:hint="eastAsia" w:ascii="宋体" w:hAnsi="宋体" w:cs="宋体"/>
                <w:color w:val="000000"/>
                <w:kern w:val="0"/>
                <w:szCs w:val="21"/>
                <w:highlight w:val="none"/>
                <w:lang w:bidi="ar"/>
              </w:rPr>
              <w:t>无效资金或结构调整</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r>
              <w:rPr>
                <w:rFonts w:hint="eastAsia" w:ascii="宋体" w:hAnsi="宋体" w:cs="宋体"/>
                <w:color w:val="000000"/>
                <w:szCs w:val="21"/>
                <w:highlight w:val="none"/>
              </w:rPr>
              <w:t>□建议收回</w:t>
            </w:r>
            <w:r>
              <w:rPr>
                <w:rFonts w:hint="eastAsia" w:ascii="宋体" w:hAnsi="宋体" w:cs="宋体"/>
                <w:color w:val="000000"/>
                <w:kern w:val="0"/>
                <w:szCs w:val="21"/>
                <w:highlight w:val="none"/>
                <w:lang w:bidi="ar"/>
              </w:rPr>
              <w:t>长期沉淀的资金</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3272"/>
              </w:tabs>
              <w:jc w:val="left"/>
              <w:rPr>
                <w:rFonts w:hint="eastAsia"/>
                <w:color w:val="000000"/>
                <w:sz w:val="22"/>
                <w:szCs w:val="22"/>
                <w:highlight w:val="none"/>
              </w:rPr>
            </w:pPr>
            <w:r>
              <w:rPr>
                <w:rFonts w:hint="eastAsia" w:ascii="宋体" w:hAnsi="宋体" w:cs="宋体"/>
                <w:color w:val="000000"/>
                <w:szCs w:val="21"/>
                <w:highlight w:val="none"/>
              </w:rPr>
              <w:t>□其他建议</w:t>
            </w:r>
            <w:r>
              <w:rPr>
                <w:rFonts w:hint="eastAsia" w:ascii="宋体" w:hAnsi="宋体" w:cs="宋体"/>
                <w:color w:val="000000"/>
                <w:szCs w:val="21"/>
                <w:highlight w:val="none"/>
              </w:rPr>
              <w:tab/>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359"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主管</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部门</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审核</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意见</w:t>
            </w:r>
          </w:p>
          <w:p>
            <w:pPr>
              <w:widowControl/>
              <w:jc w:val="center"/>
              <w:textAlignment w:val="center"/>
              <w:rPr>
                <w:rFonts w:hint="eastAsia"/>
                <w:color w:val="000000"/>
                <w:sz w:val="22"/>
                <w:szCs w:val="22"/>
                <w:highlight w:val="none"/>
              </w:rPr>
            </w:pPr>
            <w:r>
              <w:rPr>
                <w:rFonts w:hint="eastAsia" w:ascii="宋体" w:hAnsi="宋体" w:cs="宋体"/>
                <w:color w:val="000000"/>
                <w:kern w:val="0"/>
                <w:szCs w:val="21"/>
                <w:highlight w:val="none"/>
                <w:lang w:bidi="ar"/>
              </w:rPr>
              <w:t>（请在相应选项</w:t>
            </w:r>
            <w:r>
              <w:rPr>
                <w:rFonts w:hint="eastAsia" w:ascii="宋体" w:hAnsi="宋体" w:cs="宋体"/>
                <w:color w:val="000000"/>
                <w:szCs w:val="21"/>
                <w:highlight w:val="none"/>
              </w:rPr>
              <w:t>□内</w:t>
            </w:r>
            <w:r>
              <w:rPr>
                <w:rFonts w:hint="eastAsia" w:ascii="宋体" w:hAnsi="宋体" w:cs="宋体"/>
                <w:color w:val="000000"/>
                <w:kern w:val="0"/>
                <w:szCs w:val="21"/>
                <w:highlight w:val="none"/>
                <w:lang w:bidi="ar"/>
              </w:rPr>
              <w:t>划“√”，如有其他意见请在“总体意见”栏阐述，下同）</w:t>
            </w: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具体审核意见</w:t>
            </w:r>
          </w:p>
        </w:tc>
        <w:tc>
          <w:tcPr>
            <w:tcW w:w="4563" w:type="dxa"/>
            <w:gridSpan w:val="12"/>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总体意见：</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p>
          <w:p>
            <w:pPr>
              <w:widowControl/>
              <w:tabs>
                <w:tab w:val="left" w:pos="1738"/>
              </w:tabs>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ab/>
            </w:r>
          </w:p>
          <w:p>
            <w:pPr>
              <w:widowControl/>
              <w:tabs>
                <w:tab w:val="left" w:pos="1738"/>
              </w:tabs>
              <w:jc w:val="left"/>
              <w:textAlignment w:val="top"/>
              <w:rPr>
                <w:rFonts w:hint="eastAsia" w:ascii="宋体" w:hAnsi="宋体" w:cs="宋体"/>
                <w:color w:val="000000"/>
                <w:kern w:val="0"/>
                <w:szCs w:val="21"/>
                <w:highlight w:val="none"/>
                <w:lang w:bidi="ar"/>
              </w:rPr>
            </w:pPr>
          </w:p>
          <w:p>
            <w:pPr>
              <w:widowControl/>
              <w:tabs>
                <w:tab w:val="left" w:pos="1738"/>
              </w:tabs>
              <w:jc w:val="left"/>
              <w:textAlignment w:val="top"/>
              <w:rPr>
                <w:rFonts w:hint="eastAsia" w:ascii="宋体" w:hAnsi="宋体" w:cs="宋体"/>
                <w:color w:val="000000"/>
                <w:kern w:val="0"/>
                <w:szCs w:val="21"/>
                <w:highlight w:val="none"/>
                <w:lang w:bidi="ar"/>
              </w:rPr>
            </w:pPr>
          </w:p>
          <w:p>
            <w:pPr>
              <w:widowControl/>
              <w:tabs>
                <w:tab w:val="left" w:pos="1738"/>
              </w:tabs>
              <w:jc w:val="left"/>
              <w:textAlignment w:val="top"/>
              <w:rPr>
                <w:rFonts w:hint="eastAsia" w:ascii="宋体" w:hAnsi="宋体" w:cs="宋体"/>
                <w:color w:val="000000"/>
                <w:kern w:val="0"/>
                <w:szCs w:val="21"/>
                <w:highlight w:val="none"/>
                <w:lang w:bidi="ar"/>
              </w:rPr>
            </w:pPr>
          </w:p>
          <w:p>
            <w:pPr>
              <w:widowControl/>
              <w:tabs>
                <w:tab w:val="left" w:pos="1738"/>
              </w:tabs>
              <w:jc w:val="left"/>
              <w:textAlignment w:val="top"/>
              <w:rPr>
                <w:rFonts w:hint="eastAsia" w:ascii="宋体" w:hAnsi="宋体" w:cs="宋体"/>
                <w:color w:val="000000"/>
                <w:kern w:val="0"/>
                <w:szCs w:val="21"/>
                <w:highlight w:val="none"/>
                <w:lang w:bidi="ar"/>
              </w:rPr>
            </w:pPr>
          </w:p>
          <w:p>
            <w:pPr>
              <w:widowControl/>
              <w:tabs>
                <w:tab w:val="left" w:pos="1738"/>
              </w:tabs>
              <w:jc w:val="left"/>
              <w:textAlignment w:val="top"/>
              <w:rPr>
                <w:rFonts w:hint="eastAsia" w:ascii="宋体" w:hAnsi="宋体" w:cs="宋体"/>
                <w:color w:val="000000"/>
                <w:kern w:val="0"/>
                <w:szCs w:val="21"/>
                <w:highlight w:val="none"/>
                <w:lang w:bidi="ar"/>
              </w:rPr>
            </w:pPr>
          </w:p>
          <w:p>
            <w:pPr>
              <w:widowControl/>
              <w:tabs>
                <w:tab w:val="left" w:pos="1738"/>
              </w:tabs>
              <w:jc w:val="left"/>
              <w:textAlignment w:val="top"/>
              <w:rPr>
                <w:rFonts w:hint="eastAsia" w:ascii="宋体" w:hAnsi="宋体" w:cs="宋体"/>
                <w:color w:val="000000"/>
                <w:kern w:val="0"/>
                <w:szCs w:val="21"/>
                <w:highlight w:val="none"/>
                <w:lang w:bidi="ar"/>
              </w:rPr>
            </w:pPr>
          </w:p>
          <w:p>
            <w:pPr>
              <w:widowControl/>
              <w:tabs>
                <w:tab w:val="left" w:pos="1738"/>
              </w:tabs>
              <w:jc w:val="left"/>
              <w:textAlignment w:val="top"/>
              <w:rPr>
                <w:rFonts w:hint="eastAsia" w:ascii="宋体" w:hAnsi="宋体" w:cs="宋体"/>
                <w:color w:val="000000"/>
                <w:kern w:val="0"/>
                <w:szCs w:val="21"/>
                <w:highlight w:val="none"/>
                <w:lang w:bidi="ar"/>
              </w:rPr>
            </w:pPr>
          </w:p>
          <w:p>
            <w:pPr>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主管部门公章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年  月  日</w:t>
            </w:r>
          </w:p>
        </w:tc>
      </w:tr>
      <w:tr>
        <w:tblPrEx>
          <w:tblCellMar>
            <w:top w:w="0" w:type="dxa"/>
            <w:left w:w="0" w:type="dxa"/>
            <w:bottom w:w="0" w:type="dxa"/>
            <w:right w:w="0" w:type="dxa"/>
          </w:tblCellMar>
        </w:tblPrEx>
        <w:trPr>
          <w:gridAfter w:val="1"/>
          <w:wAfter w:w="6" w:type="dxa"/>
          <w:trHeight w:val="208"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r>
              <w:rPr>
                <w:rFonts w:hint="eastAsia" w:ascii="宋体" w:hAnsi="宋体" w:cs="宋体"/>
                <w:color w:val="000000"/>
                <w:szCs w:val="21"/>
                <w:highlight w:val="none"/>
              </w:rPr>
              <w:t>□建议继续全额安排</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208"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highlight w:val="none"/>
              </w:rPr>
            </w:pPr>
            <w:r>
              <w:rPr>
                <w:rFonts w:hint="eastAsia" w:ascii="宋体" w:hAnsi="宋体" w:cs="宋体"/>
                <w:color w:val="000000"/>
                <w:szCs w:val="21"/>
                <w:highlight w:val="none"/>
              </w:rPr>
              <w:t>□建议继续安排，</w:t>
            </w:r>
            <w:r>
              <w:rPr>
                <w:rFonts w:hint="eastAsia" w:ascii="宋体" w:hAnsi="宋体" w:cs="宋体"/>
                <w:color w:val="000000"/>
                <w:kern w:val="0"/>
                <w:szCs w:val="21"/>
                <w:highlight w:val="none"/>
                <w:lang w:bidi="ar"/>
              </w:rPr>
              <w:t>按规定调整下一年度经费数额</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highlight w:val="none"/>
              </w:rPr>
            </w:pPr>
          </w:p>
        </w:tc>
      </w:tr>
      <w:tr>
        <w:tblPrEx>
          <w:tblCellMar>
            <w:top w:w="0" w:type="dxa"/>
            <w:left w:w="0" w:type="dxa"/>
            <w:bottom w:w="0" w:type="dxa"/>
            <w:right w:w="0" w:type="dxa"/>
          </w:tblCellMar>
        </w:tblPrEx>
        <w:trPr>
          <w:gridAfter w:val="1"/>
          <w:wAfter w:w="6" w:type="dxa"/>
          <w:trHeight w:val="208"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highlight w:val="none"/>
              </w:rPr>
            </w:pPr>
            <w:r>
              <w:rPr>
                <w:rFonts w:hint="eastAsia" w:ascii="宋体" w:hAnsi="宋体" w:cs="宋体"/>
                <w:color w:val="000000"/>
                <w:szCs w:val="21"/>
                <w:highlight w:val="none"/>
              </w:rPr>
              <w:t>□规范预算管理</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highlight w:val="none"/>
              </w:rPr>
            </w:pPr>
          </w:p>
        </w:tc>
      </w:tr>
      <w:tr>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□改进业务管理</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highlight w:val="none"/>
              </w:rPr>
            </w:pPr>
            <w:r>
              <w:rPr>
                <w:rFonts w:hint="eastAsia" w:ascii="宋体" w:hAnsi="宋体" w:cs="宋体"/>
                <w:color w:val="000000"/>
                <w:szCs w:val="21"/>
                <w:highlight w:val="none"/>
              </w:rPr>
              <w:t>□改进预算编制管理</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□提升预算执行效率和效益</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□改进资产管理</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□改进政府采购管理</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调整公共服务标准</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454"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削减低效</w:t>
            </w:r>
            <w:r>
              <w:rPr>
                <w:rFonts w:ascii="宋体" w:hAnsi="宋体" w:cs="宋体"/>
                <w:color w:val="000000"/>
                <w:kern w:val="0"/>
                <w:szCs w:val="21"/>
                <w:highlight w:val="none"/>
                <w:lang w:bidi="ar"/>
              </w:rPr>
              <w:t>、</w:t>
            </w:r>
            <w:r>
              <w:rPr>
                <w:rFonts w:hint="eastAsia" w:ascii="宋体" w:hAnsi="宋体" w:cs="宋体"/>
                <w:color w:val="000000"/>
                <w:kern w:val="0"/>
                <w:szCs w:val="21"/>
                <w:highlight w:val="none"/>
                <w:lang w:bidi="ar"/>
              </w:rPr>
              <w:t>无效资金</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对资金结构进行调整</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收回长期沉淀的资金</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51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□其他意见</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90"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财政</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部门</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审核</w:t>
            </w:r>
          </w:p>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Cs w:val="21"/>
                <w:highlight w:val="none"/>
                <w:lang w:bidi="ar"/>
              </w:rPr>
              <w:t>意见</w:t>
            </w: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具体审核意见</w:t>
            </w:r>
          </w:p>
        </w:tc>
        <w:tc>
          <w:tcPr>
            <w:tcW w:w="4563" w:type="dxa"/>
            <w:gridSpan w:val="12"/>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总体意见：</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p>
          <w:p>
            <w:pPr>
              <w:widowControl/>
              <w:jc w:val="left"/>
              <w:textAlignment w:val="top"/>
              <w:rPr>
                <w:rFonts w:hint="eastAsia" w:ascii="宋体" w:hAnsi="宋体" w:cs="宋体"/>
                <w:color w:val="000000"/>
                <w:kern w:val="0"/>
                <w:szCs w:val="21"/>
                <w:highlight w:val="none"/>
                <w:lang w:bidi="ar"/>
              </w:rPr>
            </w:pPr>
          </w:p>
          <w:p>
            <w:pPr>
              <w:widowControl/>
              <w:jc w:val="left"/>
              <w:textAlignment w:val="top"/>
              <w:rPr>
                <w:rFonts w:hint="eastAsia" w:ascii="宋体" w:hAnsi="宋体" w:cs="宋体"/>
                <w:color w:val="000000"/>
                <w:kern w:val="0"/>
                <w:szCs w:val="21"/>
                <w:highlight w:val="none"/>
                <w:lang w:bidi="ar"/>
              </w:rPr>
            </w:pPr>
          </w:p>
          <w:p>
            <w:pPr>
              <w:widowControl/>
              <w:jc w:val="left"/>
              <w:textAlignment w:val="top"/>
              <w:rPr>
                <w:rFonts w:hint="eastAsia" w:ascii="宋体" w:hAnsi="宋体" w:cs="宋体"/>
                <w:color w:val="000000"/>
                <w:kern w:val="0"/>
                <w:szCs w:val="21"/>
                <w:highlight w:val="none"/>
                <w:lang w:bidi="ar"/>
              </w:rPr>
            </w:pPr>
          </w:p>
          <w:p>
            <w:pPr>
              <w:widowControl/>
              <w:jc w:val="left"/>
              <w:textAlignment w:val="top"/>
              <w:rPr>
                <w:rFonts w:hint="eastAsia" w:ascii="宋体" w:hAnsi="宋体" w:cs="宋体"/>
                <w:color w:val="000000"/>
                <w:kern w:val="0"/>
                <w:szCs w:val="21"/>
                <w:highlight w:val="none"/>
                <w:lang w:bidi="ar"/>
              </w:rPr>
            </w:pPr>
          </w:p>
          <w:p>
            <w:pPr>
              <w:widowControl/>
              <w:jc w:val="left"/>
              <w:textAlignment w:val="top"/>
              <w:rPr>
                <w:rFonts w:hint="eastAsia" w:ascii="宋体" w:hAnsi="宋体" w:cs="宋体"/>
                <w:color w:val="000000"/>
                <w:kern w:val="0"/>
                <w:szCs w:val="21"/>
                <w:highlight w:val="none"/>
                <w:lang w:bidi="ar"/>
              </w:rPr>
            </w:pPr>
          </w:p>
          <w:p>
            <w:pPr>
              <w:widowControl/>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br w:type="textWrapping"/>
            </w:r>
          </w:p>
          <w:p>
            <w:pPr>
              <w:widowControl/>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br w:type="textWrapping"/>
            </w:r>
          </w:p>
          <w:p>
            <w:pPr>
              <w:widowControl/>
              <w:ind w:firstLine="2310" w:firstLineChars="1100"/>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业务处室公章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年  月  日</w:t>
            </w:r>
          </w:p>
        </w:tc>
      </w:tr>
      <w:tr>
        <w:tblPrEx>
          <w:tblCellMar>
            <w:top w:w="0" w:type="dxa"/>
            <w:left w:w="0" w:type="dxa"/>
            <w:bottom w:w="0" w:type="dxa"/>
            <w:right w:w="0" w:type="dxa"/>
          </w:tblCellMar>
        </w:tblPrEx>
        <w:trPr>
          <w:gridAfter w:val="1"/>
          <w:wAfter w:w="6" w:type="dxa"/>
          <w:jc w:val="center"/>
        </w:trPr>
        <w:tc>
          <w:tcPr>
            <w:tcW w:w="708" w:type="dxa"/>
            <w:vMerge w:val="continue"/>
            <w:tcBorders>
              <w:top w:val="single" w:color="auto" w:sz="4" w:space="0"/>
              <w:left w:val="single" w:color="auto" w:sz="4" w:space="0"/>
              <w:bottom w:val="single" w:color="auto" w:sz="8" w:space="0"/>
              <w:right w:val="single" w:color="auto" w:sz="4" w:space="0"/>
            </w:tcBorders>
            <w:noWrap w:val="0"/>
            <w:vAlign w:val="center"/>
          </w:tcPr>
          <w:p>
            <w:pPr>
              <w:widowControl/>
              <w:jc w:val="center"/>
              <w:textAlignment w:val="center"/>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□建议继续全额安排</w:t>
            </w:r>
          </w:p>
        </w:tc>
        <w:tc>
          <w:tcPr>
            <w:tcW w:w="4563" w:type="dxa"/>
            <w:gridSpan w:val="12"/>
            <w:vMerge w:val="continue"/>
            <w:tcBorders>
              <w:top w:val="single" w:color="auto" w:sz="4" w:space="0"/>
              <w:left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jc w:val="center"/>
        </w:trPr>
        <w:tc>
          <w:tcPr>
            <w:tcW w:w="708" w:type="dxa"/>
            <w:vMerge w:val="continue"/>
            <w:tcBorders>
              <w:left w:val="single" w:color="auto" w:sz="4" w:space="0"/>
              <w:bottom w:val="single" w:color="auto" w:sz="8" w:space="0"/>
              <w:right w:val="single" w:color="auto" w:sz="4" w:space="0"/>
            </w:tcBorders>
            <w:noWrap w:val="0"/>
            <w:vAlign w:val="center"/>
          </w:tcPr>
          <w:p>
            <w:pPr>
              <w:jc w:val="left"/>
              <w:rPr>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highlight w:val="none"/>
              </w:rPr>
            </w:pPr>
            <w:r>
              <w:rPr>
                <w:rFonts w:hint="eastAsia" w:ascii="宋体" w:hAnsi="宋体" w:cs="宋体"/>
                <w:color w:val="000000"/>
                <w:szCs w:val="21"/>
                <w:highlight w:val="none"/>
              </w:rPr>
              <w:t>□建议继续安排，</w:t>
            </w:r>
            <w:r>
              <w:rPr>
                <w:rFonts w:hint="eastAsia" w:ascii="宋体" w:hAnsi="宋体" w:cs="宋体"/>
                <w:color w:val="000000"/>
                <w:kern w:val="0"/>
                <w:szCs w:val="21"/>
                <w:highlight w:val="none"/>
                <w:lang w:bidi="ar"/>
              </w:rPr>
              <w:t>按规定调整下一年度经费数额</w:t>
            </w:r>
          </w:p>
        </w:tc>
        <w:tc>
          <w:tcPr>
            <w:tcW w:w="4563" w:type="dxa"/>
            <w:gridSpan w:val="12"/>
            <w:vMerge w:val="continue"/>
            <w:tcBorders>
              <w:left w:val="single" w:color="auto" w:sz="4" w:space="0"/>
              <w:right w:val="single" w:color="auto" w:sz="4" w:space="0"/>
            </w:tcBorders>
            <w:noWrap w:val="0"/>
            <w:vAlign w:val="center"/>
          </w:tcPr>
          <w:p>
            <w:pPr>
              <w:jc w:val="left"/>
              <w:rPr>
                <w:rFonts w:hint="eastAsia" w:ascii="宋体" w:hAnsi="宋体" w:cs="宋体"/>
                <w:color w:val="000000"/>
                <w:szCs w:val="21"/>
                <w:highlight w:val="none"/>
              </w:rPr>
            </w:pPr>
          </w:p>
        </w:tc>
      </w:tr>
      <w:tr>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□规范部门预算管理</w:t>
            </w:r>
          </w:p>
        </w:tc>
        <w:tc>
          <w:tcPr>
            <w:tcW w:w="4563" w:type="dxa"/>
            <w:gridSpan w:val="12"/>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pPr>
              <w:jc w:val="left"/>
              <w:rPr>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highlight w:val="none"/>
              </w:rPr>
            </w:pPr>
            <w:r>
              <w:rPr>
                <w:rFonts w:hint="eastAsia" w:ascii="宋体" w:hAnsi="宋体" w:cs="宋体"/>
                <w:color w:val="000000"/>
                <w:szCs w:val="21"/>
                <w:highlight w:val="none"/>
              </w:rPr>
              <w:t>□改进部门业务管理</w:t>
            </w:r>
          </w:p>
        </w:tc>
        <w:tc>
          <w:tcPr>
            <w:tcW w:w="4563" w:type="dxa"/>
            <w:gridSpan w:val="12"/>
            <w:vMerge w:val="continue"/>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□改进部门预算编制管理</w:t>
            </w:r>
          </w:p>
        </w:tc>
        <w:tc>
          <w:tcPr>
            <w:tcW w:w="4563" w:type="dxa"/>
            <w:gridSpan w:val="12"/>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□提升部门预算执行效率和效益</w:t>
            </w:r>
          </w:p>
        </w:tc>
        <w:tc>
          <w:tcPr>
            <w:tcW w:w="4563" w:type="dxa"/>
            <w:gridSpan w:val="12"/>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□改进部门资产管理</w:t>
            </w:r>
          </w:p>
        </w:tc>
        <w:tc>
          <w:tcPr>
            <w:tcW w:w="4563" w:type="dxa"/>
            <w:gridSpan w:val="12"/>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□改进部门政府采购管理</w:t>
            </w:r>
          </w:p>
        </w:tc>
        <w:tc>
          <w:tcPr>
            <w:tcW w:w="4563" w:type="dxa"/>
            <w:gridSpan w:val="12"/>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调整公共服务标准</w:t>
            </w:r>
          </w:p>
        </w:tc>
        <w:tc>
          <w:tcPr>
            <w:tcW w:w="4563" w:type="dxa"/>
            <w:gridSpan w:val="12"/>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削减低效</w:t>
            </w:r>
            <w:r>
              <w:rPr>
                <w:rFonts w:ascii="宋体" w:hAnsi="宋体" w:cs="宋体"/>
                <w:color w:val="000000"/>
                <w:kern w:val="0"/>
                <w:szCs w:val="21"/>
                <w:highlight w:val="none"/>
                <w:lang w:bidi="ar"/>
              </w:rPr>
              <w:t>、</w:t>
            </w:r>
            <w:r>
              <w:rPr>
                <w:rFonts w:hint="eastAsia" w:ascii="宋体" w:hAnsi="宋体" w:cs="宋体"/>
                <w:color w:val="000000"/>
                <w:kern w:val="0"/>
                <w:szCs w:val="21"/>
                <w:highlight w:val="none"/>
                <w:lang w:bidi="ar"/>
              </w:rPr>
              <w:t>无效资金</w:t>
            </w:r>
          </w:p>
        </w:tc>
        <w:tc>
          <w:tcPr>
            <w:tcW w:w="4563" w:type="dxa"/>
            <w:gridSpan w:val="12"/>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对部门（单位）的资金结构进行调整</w:t>
            </w:r>
          </w:p>
        </w:tc>
        <w:tc>
          <w:tcPr>
            <w:tcW w:w="4563" w:type="dxa"/>
            <w:gridSpan w:val="12"/>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收回部门（单位）长期沉淀的资金</w:t>
            </w:r>
          </w:p>
        </w:tc>
        <w:tc>
          <w:tcPr>
            <w:tcW w:w="4563" w:type="dxa"/>
            <w:gridSpan w:val="12"/>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□其他意见</w:t>
            </w:r>
          </w:p>
        </w:tc>
        <w:tc>
          <w:tcPr>
            <w:tcW w:w="4563" w:type="dxa"/>
            <w:gridSpan w:val="12"/>
            <w:vMerge w:val="continue"/>
            <w:tcBorders>
              <w:left w:val="single" w:color="auto" w:sz="4" w:space="0"/>
              <w:bottom w:val="single" w:color="auto" w:sz="8" w:space="0"/>
              <w:right w:val="single" w:color="auto" w:sz="4" w:space="0"/>
            </w:tcBorders>
            <w:noWrap w:val="0"/>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0" w:type="dxa"/>
            <w:bottom w:w="0" w:type="dxa"/>
            <w:right w:w="0" w:type="dxa"/>
          </w:tblCellMar>
        </w:tblPrEx>
        <w:trPr>
          <w:gridAfter w:val="1"/>
          <w:wAfter w:w="6" w:type="dxa"/>
          <w:trHeight w:val="402" w:hRule="atLeast"/>
          <w:jc w:val="center"/>
        </w:trPr>
        <w:tc>
          <w:tcPr>
            <w:tcW w:w="9054" w:type="dxa"/>
            <w:gridSpan w:val="20"/>
            <w:tcBorders>
              <w:top w:val="single" w:color="auto" w:sz="8" w:space="0"/>
              <w:left w:val="nil"/>
              <w:bottom w:val="nil"/>
              <w:right w:val="nil"/>
            </w:tcBorders>
            <w:noWrap w:val="0"/>
            <w:vAlign w:val="bottom"/>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注：1.未完成原因中可以同时勾选多项原因，并在原因说明中逐项进行说明。</w:t>
            </w:r>
          </w:p>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2.年度部门预算收入及支出金额以万元为单位,保留两位小数。</w:t>
            </w:r>
          </w:p>
          <w:p>
            <w:pPr>
              <w:widowControl/>
              <w:ind w:firstLine="360"/>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3.对应项目：部门经费类（履职保障类）项目、部门基本支出无需填列，仅专项资金类（事业发展类）项目填列此项。</w:t>
            </w:r>
          </w:p>
          <w:p>
            <w:pPr>
              <w:widowControl/>
              <w:ind w:firstLine="360"/>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4.资金使用单位填写本单位实际完成数。预算部门汇总时，对绝对值直接累加计算，相对值按照资金额度加权平均计算。</w:t>
            </w:r>
          </w:p>
        </w:tc>
      </w:tr>
    </w:tbl>
    <w:p>
      <w:pPr>
        <w:rPr>
          <w:rFonts w:hint="eastAsia" w:ascii="仿宋_GB2312" w:eastAsia="仿宋_GB2312"/>
          <w:sz w:val="32"/>
          <w:szCs w:val="32"/>
          <w:highlight w:val="none"/>
          <w:lang w:val="en-US" w:eastAsia="zh-CN"/>
        </w:rPr>
      </w:pPr>
    </w:p>
    <w:p>
      <w:pPr>
        <w:rPr>
          <w:rFonts w:hint="eastAsia" w:ascii="仿宋_GB2312" w:eastAsia="仿宋_GB2312"/>
          <w:sz w:val="32"/>
          <w:szCs w:val="32"/>
          <w:highlight w:val="none"/>
          <w:lang w:val="en-US" w:eastAsia="zh-CN"/>
        </w:rPr>
      </w:pPr>
    </w:p>
    <w:p>
      <w:pPr>
        <w:rPr>
          <w:rFonts w:hint="eastAsia" w:ascii="仿宋_GB2312" w:eastAsia="仿宋_GB2312"/>
          <w:sz w:val="32"/>
          <w:szCs w:val="32"/>
          <w:highlight w:val="none"/>
          <w:lang w:val="en-US" w:eastAsia="zh-CN"/>
        </w:rPr>
      </w:pPr>
    </w:p>
    <w:p>
      <w:pPr>
        <w:rPr>
          <w:rFonts w:hint="eastAsia" w:ascii="仿宋_GB2312" w:eastAsia="仿宋_GB2312"/>
          <w:sz w:val="32"/>
          <w:szCs w:val="32"/>
          <w:highlight w:val="none"/>
          <w:lang w:val="en-US" w:eastAsia="zh-CN"/>
        </w:rPr>
      </w:pPr>
    </w:p>
    <w:p>
      <w:pPr>
        <w:rPr>
          <w:rFonts w:hint="eastAsia" w:ascii="仿宋_GB2312" w:eastAsia="仿宋_GB2312"/>
          <w:sz w:val="32"/>
          <w:szCs w:val="32"/>
          <w:highlight w:val="none"/>
          <w:lang w:val="en-US" w:eastAsia="zh-CN"/>
        </w:rPr>
      </w:pPr>
    </w:p>
    <w:p>
      <w:pPr>
        <w:rPr>
          <w:rFonts w:hint="eastAsia" w:ascii="仿宋_GB2312" w:eastAsia="仿宋_GB2312"/>
          <w:sz w:val="32"/>
          <w:szCs w:val="32"/>
          <w:highlight w:val="none"/>
          <w:lang w:val="en-US" w:eastAsia="zh-CN"/>
        </w:rPr>
      </w:pPr>
    </w:p>
    <w:p>
      <w:pPr>
        <w:rPr>
          <w:rFonts w:hint="eastAsia" w:ascii="仿宋_GB2312" w:eastAsia="仿宋_GB2312"/>
          <w:sz w:val="32"/>
          <w:szCs w:val="32"/>
          <w:highlight w:val="none"/>
          <w:lang w:val="en-US" w:eastAsia="zh-CN"/>
        </w:rPr>
      </w:pPr>
    </w:p>
    <w:tbl>
      <w:tblPr>
        <w:tblStyle w:val="2"/>
        <w:tblW w:w="9276" w:type="dxa"/>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568"/>
        <w:gridCol w:w="331"/>
        <w:gridCol w:w="381"/>
        <w:gridCol w:w="478"/>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1"/>
            <w:tcBorders>
              <w:bottom w:val="single" w:color="auto" w:sz="4" w:space="0"/>
            </w:tcBorders>
            <w:noWrap w:val="0"/>
            <w:tcMar>
              <w:top w:w="15" w:type="dxa"/>
              <w:left w:w="15" w:type="dxa"/>
              <w:bottom w:w="0" w:type="dxa"/>
              <w:right w:w="15" w:type="dxa"/>
            </w:tcMar>
            <w:vAlign w:val="center"/>
          </w:tcPr>
          <w:p>
            <w:pPr>
              <w:jc w:val="center"/>
              <w:rPr>
                <w:sz w:val="40"/>
                <w:szCs w:val="40"/>
                <w:highlight w:val="none"/>
              </w:rPr>
            </w:pPr>
            <w:r>
              <w:rPr>
                <w:rFonts w:hint="eastAsia" w:ascii="宋体" w:hAnsi="宋体" w:cs="宋体"/>
                <w:b/>
                <w:bCs/>
                <w:sz w:val="44"/>
                <w:szCs w:val="44"/>
                <w:highlight w:val="none"/>
                <w:lang w:val="en-US" w:eastAsia="zh-CN"/>
              </w:rPr>
              <w:t>区</w:t>
            </w:r>
            <w:r>
              <w:rPr>
                <w:rFonts w:hint="eastAsia" w:ascii="宋体" w:hAnsi="宋体" w:cs="宋体"/>
                <w:b/>
                <w:bCs/>
                <w:sz w:val="44"/>
                <w:szCs w:val="44"/>
                <w:highlight w:val="none"/>
              </w:rPr>
              <w:t>本级预算项目（政策）绩效目标自评表</w:t>
            </w:r>
            <w:r>
              <w:rPr>
                <w:rFonts w:hint="eastAsia" w:ascii="宋体" w:hAnsi="宋体" w:cs="宋体"/>
                <w:sz w:val="44"/>
                <w:szCs w:val="44"/>
                <w:highlight w:val="none"/>
              </w:rPr>
              <w:t xml:space="preserve"> </w:t>
            </w:r>
            <w:r>
              <w:rPr>
                <w:rFonts w:hint="eastAsia" w:ascii="宋体" w:hAnsi="宋体" w:cs="宋体"/>
                <w:sz w:val="44"/>
                <w:szCs w:val="44"/>
                <w:highlight w:val="none"/>
              </w:rPr>
              <w:br w:type="textWrapping"/>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val="en-US" w:eastAsia="zh-CN"/>
              </w:rPr>
              <w:t>2021</w:t>
            </w:r>
            <w:r>
              <w:rPr>
                <w:rFonts w:hint="eastAsia" w:ascii="宋体" w:hAnsi="宋体" w:cs="宋体"/>
                <w:color w:val="000000"/>
                <w:sz w:val="32"/>
                <w:szCs w:val="32"/>
                <w:highlight w:val="none"/>
              </w:rPr>
              <w:t>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项目（政策）</w:t>
            </w:r>
          </w:p>
          <w:p>
            <w:pPr>
              <w:widowControl/>
              <w:jc w:val="center"/>
              <w:textAlignment w:val="center"/>
              <w:rPr>
                <w:color w:val="000000"/>
                <w:highlight w:val="none"/>
              </w:rPr>
            </w:pPr>
            <w:r>
              <w:rPr>
                <w:rFonts w:hint="eastAsia" w:ascii="宋体" w:hAnsi="宋体" w:cs="宋体"/>
                <w:color w:val="000000"/>
                <w:kern w:val="0"/>
                <w:szCs w:val="21"/>
                <w:highlight w:val="none"/>
                <w:lang w:bidi="ar"/>
              </w:rPr>
              <w:t>名称</w:t>
            </w:r>
          </w:p>
        </w:tc>
        <w:tc>
          <w:tcPr>
            <w:tcW w:w="7913" w:type="dxa"/>
            <w:gridSpan w:val="1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rPr>
              <w:t>楹联书法博物馆工程项目建设费</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color w:val="000000"/>
                <w:highlight w:val="none"/>
              </w:rPr>
              <w:t>主管部门</w:t>
            </w:r>
          </w:p>
        </w:tc>
        <w:tc>
          <w:tcPr>
            <w:tcW w:w="7913" w:type="dxa"/>
            <w:gridSpan w:val="1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Cs w:val="21"/>
                <w:lang w:eastAsia="zh-CN"/>
              </w:rPr>
              <w:t>盘锦市兴隆台区</w:t>
            </w:r>
            <w:r>
              <w:rPr>
                <w:rFonts w:hint="eastAsia" w:ascii="宋体" w:hAnsi="宋体" w:cs="宋体"/>
                <w:color w:val="000000"/>
                <w:szCs w:val="21"/>
              </w:rPr>
              <w:t>财政局</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highlight w:val="none"/>
              </w:rPr>
            </w:pPr>
            <w:r>
              <w:rPr>
                <w:rFonts w:hint="eastAsia"/>
                <w:color w:val="000000"/>
                <w:highlight w:val="none"/>
              </w:rPr>
              <w:t>实施单位</w:t>
            </w: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highlight w:val="none"/>
              </w:rPr>
            </w:pPr>
            <w:r>
              <w:rPr>
                <w:rFonts w:hint="eastAsia" w:ascii="宋体" w:hAnsi="宋体" w:cs="宋体"/>
                <w:color w:val="000000"/>
                <w:szCs w:val="21"/>
              </w:rPr>
              <w:t>盘锦市兴隆台区文化旅游和广播电视局</w:t>
            </w: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val="en-US" w:eastAsia="zh-CN"/>
              </w:rPr>
              <w:t>2021</w:t>
            </w:r>
            <w:r>
              <w:rPr>
                <w:rFonts w:hint="eastAsia" w:ascii="宋体" w:hAnsi="宋体" w:cs="宋体"/>
                <w:color w:val="000000"/>
                <w:kern w:val="0"/>
                <w:szCs w:val="21"/>
                <w:highlight w:val="none"/>
              </w:rPr>
              <w:t xml:space="preserve"> 年</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2021年12月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highlight w:val="none"/>
              </w:rPr>
            </w:pPr>
            <w:r>
              <w:rPr>
                <w:rFonts w:hint="eastAsia"/>
                <w:highlight w:val="none"/>
              </w:rPr>
              <w:t>年初</w:t>
            </w:r>
          </w:p>
          <w:p>
            <w:pPr>
              <w:jc w:val="center"/>
              <w:rPr>
                <w:rFonts w:hint="eastAsia"/>
                <w:highlight w:val="none"/>
              </w:rPr>
            </w:pPr>
            <w:r>
              <w:rPr>
                <w:rFonts w:hint="eastAsia"/>
                <w:highlight w:val="none"/>
              </w:rPr>
              <w:t>预算数</w:t>
            </w: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highlight w:val="none"/>
              </w:rPr>
            </w:pPr>
            <w:r>
              <w:rPr>
                <w:rFonts w:hint="eastAsia"/>
                <w:highlight w:val="none"/>
              </w:rPr>
              <w:t>全年预算数（A）</w:t>
            </w: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highlight w:val="none"/>
              </w:rPr>
            </w:pPr>
            <w:r>
              <w:rPr>
                <w:rFonts w:hint="eastAsia"/>
                <w:highlight w:val="none"/>
              </w:rP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highlight w:val="none"/>
              </w:rPr>
            </w:pPr>
            <w:r>
              <w:rPr>
                <w:rFonts w:hint="eastAsia"/>
                <w:highlight w:val="none"/>
              </w:rP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highlight w:val="none"/>
              </w:rPr>
            </w:pPr>
            <w:r>
              <w:rPr>
                <w:rFonts w:hint="eastAsia"/>
                <w:highlight w:val="none"/>
              </w:rP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highlight w:val="none"/>
              </w:rPr>
            </w:pPr>
            <w:r>
              <w:rPr>
                <w:rFonts w:hint="eastAsia"/>
                <w:highlight w:val="none"/>
              </w:rPr>
              <w:t>得分</w:t>
            </w:r>
          </w:p>
          <w:p>
            <w:pPr>
              <w:jc w:val="center"/>
              <w:rPr>
                <w:rFonts w:hint="eastAsia"/>
                <w:highlight w:val="none"/>
              </w:rPr>
            </w:pPr>
            <w:r>
              <w:rPr>
                <w:rFonts w:hint="eastAsia"/>
                <w:highlight w:val="none"/>
              </w:rP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r>
              <w:rPr>
                <w:rFonts w:hint="eastAsia"/>
                <w:color w:val="000000"/>
                <w:highlight w:val="none"/>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900</w:t>
            </w:r>
            <w:r>
              <w:rPr>
                <w:rFonts w:hint="eastAsia"/>
                <w:color w:val="000000"/>
                <w:highlight w:val="none"/>
              </w:rPr>
              <w:t>　</w:t>
            </w: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900</w:t>
            </w: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rPr>
              <w:t>　</w:t>
            </w:r>
            <w:r>
              <w:rPr>
                <w:rFonts w:hint="eastAsia"/>
                <w:color w:val="000000"/>
                <w:highlight w:val="none"/>
                <w:lang w:val="en-US" w:eastAsia="zh-CN"/>
              </w:rPr>
              <w:t>200</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Times New Roman" w:hAnsi="Times New Roman" w:eastAsia="宋体" w:cs="Times New Roman"/>
                <w:color w:val="000000"/>
                <w:kern w:val="2"/>
                <w:sz w:val="21"/>
                <w:szCs w:val="24"/>
                <w:highlight w:val="none"/>
                <w:lang w:val="en-US" w:eastAsia="zh-CN" w:bidi="ar-SA"/>
              </w:rPr>
            </w:pPr>
            <w:r>
              <w:rPr>
                <w:rFonts w:hint="eastAsia"/>
                <w:color w:val="000000"/>
                <w:highlight w:val="none"/>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22%</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s="Times New Roman"/>
                <w:color w:val="000000"/>
                <w:kern w:val="2"/>
                <w:sz w:val="21"/>
                <w:szCs w:val="24"/>
                <w:highlight w:val="none"/>
                <w:lang w:val="en-US" w:eastAsia="zh-CN" w:bidi="ar-SA"/>
              </w:rPr>
              <w:t>5</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900</w:t>
            </w:r>
            <w:r>
              <w:rPr>
                <w:rFonts w:hint="eastAsia"/>
                <w:color w:val="000000"/>
                <w:highlight w:val="none"/>
              </w:rPr>
              <w:t>　</w:t>
            </w: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900</w:t>
            </w: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rPr>
              <w:t>　</w:t>
            </w:r>
            <w:r>
              <w:rPr>
                <w:rFonts w:hint="eastAsia"/>
                <w:color w:val="000000"/>
                <w:highlight w:val="none"/>
                <w:lang w:val="en-US" w:eastAsia="zh-CN"/>
              </w:rPr>
              <w:t>200</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22%</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s="Times New Roman"/>
                <w:color w:val="000000"/>
                <w:kern w:val="2"/>
                <w:sz w:val="21"/>
                <w:szCs w:val="24"/>
                <w:highlight w:val="none"/>
                <w:lang w:val="en-US" w:eastAsia="zh-CN" w:bidi="ar-SA"/>
              </w:rPr>
              <w:t>5</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highlight w:val="none"/>
              </w:rPr>
            </w:pPr>
            <w:r>
              <w:rPr>
                <w:rFonts w:hint="eastAsia" w:ascii="宋体" w:hAnsi="宋体" w:cs="宋体"/>
                <w:kern w:val="0"/>
                <w:szCs w:val="21"/>
                <w:highlight w:val="none"/>
                <w:lang w:bidi="ar"/>
              </w:rPr>
              <w:t>中央提前告知转移支付资金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highlight w:val="none"/>
              </w:rPr>
            </w:pPr>
            <w:r>
              <w:rPr>
                <w:rFonts w:hint="eastAsia" w:ascii="宋体" w:hAnsi="宋体" w:cs="宋体"/>
                <w:kern w:val="0"/>
                <w:szCs w:val="21"/>
                <w:highlight w:val="none"/>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highlight w:val="none"/>
              </w:rPr>
            </w:pPr>
            <w:r>
              <w:rPr>
                <w:rFonts w:hint="eastAsia" w:ascii="宋体" w:hAnsi="宋体" w:cs="宋体"/>
                <w:kern w:val="0"/>
                <w:szCs w:val="21"/>
                <w:highlight w:val="none"/>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highlight w:val="none"/>
              </w:rPr>
            </w:pPr>
            <w:r>
              <w:rPr>
                <w:rFonts w:hint="eastAsia" w:ascii="宋体" w:hAnsi="宋体" w:cs="宋体"/>
                <w:kern w:val="0"/>
                <w:szCs w:val="21"/>
                <w:highlight w:val="none"/>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highlight w:val="none"/>
              </w:rPr>
            </w:pPr>
            <w:r>
              <w:rPr>
                <w:rFonts w:hint="eastAsia" w:ascii="宋体" w:hAnsi="宋体" w:cs="宋体"/>
                <w:kern w:val="0"/>
                <w:szCs w:val="21"/>
                <w:highlight w:val="none"/>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highlight w:val="none"/>
              </w:rPr>
            </w:pPr>
            <w:r>
              <w:rPr>
                <w:rFonts w:hint="eastAsia" w:ascii="宋体" w:hAnsi="宋体" w:cs="宋体"/>
                <w:kern w:val="0"/>
                <w:szCs w:val="21"/>
                <w:highlight w:val="none"/>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年度总体目标</w:t>
            </w: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年初设定目标</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eastAsia="宋体"/>
                <w:color w:val="000000"/>
                <w:highlight w:val="none"/>
                <w:lang w:val="en-US" w:eastAsia="zh-CN"/>
              </w:rPr>
            </w:pPr>
            <w:r>
              <w:rPr>
                <w:rFonts w:hint="eastAsia"/>
                <w:color w:val="000000"/>
                <w:highlight w:val="none"/>
              </w:rPr>
              <w:t>楹联书法博物馆工程项目建设费</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kern w:val="0"/>
                <w:szCs w:val="21"/>
                <w:lang w:val="en-US" w:eastAsia="zh-CN" w:bidi="ar"/>
              </w:rPr>
              <w:t>完成</w:t>
            </w:r>
            <w:r>
              <w:rPr>
                <w:rFonts w:hint="eastAsia"/>
                <w:color w:val="000000"/>
                <w:highlight w:val="none"/>
              </w:rPr>
              <w:t>　</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eastAsia="宋体"/>
                <w:color w:val="000000"/>
                <w:highlight w:val="none"/>
                <w:lang w:eastAsia="zh-CN"/>
              </w:rPr>
            </w:pP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p>
          <w:p>
            <w:pPr>
              <w:jc w:val="center"/>
              <w:rPr>
                <w:color w:val="000000"/>
                <w:highlight w:val="none"/>
              </w:rPr>
            </w:pPr>
          </w:p>
          <w:p>
            <w:pPr>
              <w:rPr>
                <w:color w:val="000000"/>
                <w:highlight w:val="none"/>
              </w:rPr>
            </w:pPr>
          </w:p>
          <w:p>
            <w:pPr>
              <w:jc w:val="center"/>
              <w:rPr>
                <w:color w:val="000000"/>
                <w:highlight w:val="none"/>
              </w:rPr>
            </w:pPr>
            <w:r>
              <w:rPr>
                <w:rFonts w:hint="eastAsia"/>
                <w:color w:val="000000"/>
                <w:highlight w:val="none"/>
              </w:rPr>
              <w:t>绩效</w:t>
            </w:r>
          </w:p>
          <w:p>
            <w:pPr>
              <w:jc w:val="center"/>
              <w:rPr>
                <w:color w:val="000000"/>
                <w:highlight w:val="none"/>
              </w:rPr>
            </w:pPr>
            <w:r>
              <w:rPr>
                <w:rFonts w:hint="eastAsia"/>
                <w:color w:val="000000"/>
                <w:highlight w:val="none"/>
              </w:rPr>
              <w:t>指标</w:t>
            </w: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r>
              <w:rPr>
                <w:rFonts w:hint="eastAsia"/>
                <w:color w:val="000000"/>
                <w:highlight w:val="none"/>
              </w:rPr>
              <w:t>绩效</w:t>
            </w:r>
          </w:p>
          <w:p>
            <w:pPr>
              <w:jc w:val="center"/>
              <w:rPr>
                <w:color w:val="000000"/>
                <w:highlight w:val="none"/>
              </w:rPr>
            </w:pPr>
            <w:r>
              <w:rPr>
                <w:rFonts w:hint="eastAsia"/>
                <w:color w:val="000000"/>
                <w:highlight w:val="none"/>
              </w:rPr>
              <w:t>指标</w:t>
            </w:r>
          </w:p>
          <w:p>
            <w:pPr>
              <w:rPr>
                <w:color w:val="000000"/>
                <w:highlight w:val="none"/>
              </w:rPr>
            </w:pPr>
          </w:p>
          <w:p>
            <w:pPr>
              <w:jc w:val="center"/>
              <w:rPr>
                <w:color w:val="000000"/>
                <w:highlight w:val="none"/>
              </w:rPr>
            </w:pPr>
          </w:p>
          <w:p>
            <w:pPr>
              <w:jc w:val="center"/>
              <w:rPr>
                <w:rFonts w:hint="eastAsia"/>
                <w:color w:val="000000"/>
                <w:highlight w:val="none"/>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一级</w:t>
            </w:r>
          </w:p>
          <w:p>
            <w:pPr>
              <w:jc w:val="center"/>
              <w:rPr>
                <w:color w:val="000000"/>
                <w:highlight w:val="none"/>
              </w:rPr>
            </w:pPr>
            <w:r>
              <w:rPr>
                <w:rFonts w:hint="eastAsia"/>
                <w:color w:val="000000"/>
                <w:highlight w:val="none"/>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二级</w:t>
            </w:r>
          </w:p>
          <w:p>
            <w:pPr>
              <w:jc w:val="center"/>
              <w:rPr>
                <w:color w:val="000000"/>
                <w:highlight w:val="none"/>
              </w:rPr>
            </w:pPr>
            <w:r>
              <w:rPr>
                <w:rFonts w:hint="eastAsia"/>
                <w:color w:val="000000"/>
                <w:highlight w:val="none"/>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三级</w:t>
            </w:r>
          </w:p>
          <w:p>
            <w:pPr>
              <w:jc w:val="center"/>
              <w:rPr>
                <w:color w:val="000000"/>
                <w:highlight w:val="none"/>
              </w:rPr>
            </w:pPr>
            <w:r>
              <w:rPr>
                <w:rFonts w:hint="eastAsia"/>
                <w:color w:val="000000"/>
                <w:highlight w:val="none"/>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年度</w:t>
            </w:r>
          </w:p>
          <w:p>
            <w:pPr>
              <w:jc w:val="center"/>
              <w:rPr>
                <w:rFonts w:hint="eastAsia"/>
                <w:color w:val="000000"/>
                <w:highlight w:val="none"/>
              </w:rPr>
            </w:pPr>
            <w:r>
              <w:rPr>
                <w:rFonts w:hint="eastAsia"/>
                <w:color w:val="000000"/>
                <w:highlight w:val="none"/>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w:t>
            </w:r>
          </w:p>
          <w:p>
            <w:pPr>
              <w:jc w:val="center"/>
              <w:rPr>
                <w:rFonts w:hint="eastAsia"/>
                <w:color w:val="000000"/>
                <w:highlight w:val="none"/>
              </w:rPr>
            </w:pPr>
            <w:r>
              <w:rPr>
                <w:rFonts w:hint="eastAsia"/>
                <w:color w:val="000000"/>
                <w:highlight w:val="none"/>
              </w:rPr>
              <w:t>完成值</w:t>
            </w:r>
          </w:p>
        </w:tc>
        <w:tc>
          <w:tcPr>
            <w:tcW w:w="5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完成程度</w:t>
            </w:r>
          </w:p>
        </w:tc>
        <w:tc>
          <w:tcPr>
            <w:tcW w:w="33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分值</w:t>
            </w:r>
          </w:p>
        </w:tc>
        <w:tc>
          <w:tcPr>
            <w:tcW w:w="38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得分</w:t>
            </w:r>
          </w:p>
        </w:tc>
        <w:tc>
          <w:tcPr>
            <w:tcW w:w="3312"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未完成原因分析</w:t>
            </w:r>
          </w:p>
          <w:p>
            <w:pPr>
              <w:widowControl/>
              <w:jc w:val="center"/>
              <w:textAlignment w:val="center"/>
              <w:rPr>
                <w:rFonts w:hint="eastAsia"/>
                <w:color w:val="000000"/>
                <w:highlight w:val="none"/>
              </w:rPr>
            </w:pPr>
            <w:r>
              <w:rPr>
                <w:rFonts w:hint="eastAsia" w:ascii="宋体" w:hAnsi="宋体" w:cs="宋体"/>
                <w:color w:val="000000"/>
                <w:kern w:val="0"/>
                <w:szCs w:val="21"/>
                <w:highlight w:val="none"/>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改进</w:t>
            </w:r>
          </w:p>
          <w:p>
            <w:pPr>
              <w:jc w:val="center"/>
              <w:rPr>
                <w:rFonts w:hint="eastAsia"/>
                <w:color w:val="000000"/>
                <w:highlight w:val="none"/>
              </w:rPr>
            </w:pPr>
            <w:r>
              <w:rPr>
                <w:rFonts w:hint="eastAsia"/>
                <w:color w:val="000000"/>
                <w:highlight w:val="none"/>
              </w:rPr>
              <w:t>措施</w:t>
            </w:r>
          </w:p>
        </w:tc>
      </w:tr>
      <w:tr>
        <w:tblPrEx>
          <w:tblCellMar>
            <w:top w:w="0" w:type="dxa"/>
            <w:left w:w="0" w:type="dxa"/>
            <w:bottom w:w="0" w:type="dxa"/>
            <w:right w:w="0" w:type="dxa"/>
          </w:tblCellMar>
        </w:tblPrEx>
        <w:trPr>
          <w:trHeight w:val="9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highlight w:val="none"/>
              </w:rPr>
            </w:pPr>
            <w:r>
              <w:rPr>
                <w:rFonts w:hint="eastAsia"/>
                <w:color w:val="000000"/>
                <w:highlight w:val="none"/>
              </w:rPr>
              <w:t>运算</w:t>
            </w:r>
          </w:p>
          <w:p>
            <w:pPr>
              <w:rPr>
                <w:color w:val="000000"/>
                <w:highlight w:val="none"/>
              </w:rPr>
            </w:pPr>
            <w:r>
              <w:rPr>
                <w:rFonts w:hint="eastAsia"/>
                <w:color w:val="000000"/>
                <w:highlight w:val="none"/>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highlight w:val="none"/>
              </w:rPr>
            </w:pPr>
            <w:r>
              <w:rPr>
                <w:rFonts w:hint="eastAsia"/>
                <w:color w:val="000000"/>
                <w:highlight w:val="none"/>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highlight w:val="none"/>
              </w:rPr>
            </w:pPr>
            <w:r>
              <w:rPr>
                <w:rFonts w:hint="eastAsia"/>
                <w:color w:val="000000"/>
                <w:highlight w:val="none"/>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33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38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经费</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制度</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人员</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原因</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r>
      <w:tr>
        <w:tblPrEx>
          <w:tblCellMar>
            <w:top w:w="0" w:type="dxa"/>
            <w:left w:w="0" w:type="dxa"/>
            <w:bottom w:w="0" w:type="dxa"/>
            <w:right w:w="0" w:type="dxa"/>
          </w:tblCellMar>
        </w:tblPrEx>
        <w:trPr>
          <w:trHeight w:val="1888"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产出</w:t>
            </w:r>
          </w:p>
          <w:p>
            <w:pPr>
              <w:jc w:val="center"/>
              <w:rPr>
                <w:rFonts w:hint="eastAsia"/>
                <w:color w:val="000000"/>
                <w:highlight w:val="none"/>
              </w:rPr>
            </w:pPr>
            <w:r>
              <w:rPr>
                <w:rFonts w:hint="eastAsia"/>
                <w:color w:val="000000"/>
                <w:highlight w:val="none"/>
              </w:rPr>
              <w:t>指标</w:t>
            </w: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lang w:val="en-US" w:eastAsia="zh-CN"/>
              </w:rPr>
            </w:pPr>
            <w:r>
              <w:rPr>
                <w:rFonts w:hint="eastAsia"/>
                <w:color w:val="000000"/>
                <w:highlight w:val="none"/>
                <w:lang w:val="en-US" w:eastAsia="zh-CN"/>
              </w:rPr>
              <w:t xml:space="preserve">       </w:t>
            </w:r>
          </w:p>
          <w:p>
            <w:pPr>
              <w:jc w:val="center"/>
              <w:rPr>
                <w:rFonts w:hint="eastAsia"/>
                <w:color w:val="000000"/>
                <w:highlight w:val="none"/>
                <w:lang w:val="en-US" w:eastAsia="zh-CN"/>
              </w:rPr>
            </w:pPr>
          </w:p>
          <w:p>
            <w:pPr>
              <w:jc w:val="center"/>
              <w:rPr>
                <w:color w:val="000000"/>
                <w:highlight w:val="none"/>
              </w:rPr>
            </w:pPr>
            <w:r>
              <w:rPr>
                <w:rFonts w:hint="eastAsia"/>
                <w:color w:val="000000"/>
                <w:highlight w:val="none"/>
              </w:rPr>
              <w:t>数量</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default" w:eastAsia="宋体"/>
                <w:color w:val="000000"/>
                <w:highlight w:val="none"/>
                <w:lang w:val="en-US" w:eastAsia="zh-CN"/>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Cs w:val="21"/>
              </w:rPr>
            </w:pPr>
            <w:r>
              <w:rPr>
                <w:rFonts w:hint="eastAsia" w:ascii="宋体" w:hAnsi="宋体" w:cs="宋体"/>
                <w:color w:val="000000"/>
                <w:szCs w:val="21"/>
              </w:rPr>
              <w:t>支持项目数量</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仿宋_GB2312" w:hAnsi="仿宋_GB2312" w:eastAsia="仿宋_GB2312" w:cs="仿宋_GB2312"/>
                <w:szCs w:val="21"/>
                <w:highlight w:val="none"/>
              </w:rPr>
            </w:pPr>
          </w:p>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highlight w:val="none"/>
              </w:rPr>
              <w:t>=</w:t>
            </w:r>
          </w:p>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lang w:val="en-US" w:eastAsia="zh-CN"/>
              </w:rPr>
            </w:pPr>
          </w:p>
          <w:p>
            <w:pPr>
              <w:jc w:val="center"/>
              <w:rPr>
                <w:rFonts w:hint="eastAsia"/>
                <w:color w:val="000000"/>
                <w:highlight w:val="none"/>
                <w:lang w:val="en-US" w:eastAsia="zh-CN"/>
              </w:rPr>
            </w:pPr>
          </w:p>
          <w:p>
            <w:pPr>
              <w:jc w:val="center"/>
              <w:rPr>
                <w:rFonts w:hint="default"/>
                <w:color w:val="000000"/>
                <w:highlight w:val="none"/>
                <w:lang w:val="en-US" w:eastAsia="zh-CN"/>
              </w:rPr>
            </w:pPr>
            <w:r>
              <w:rPr>
                <w:rFonts w:hint="eastAsia"/>
                <w:color w:val="000000"/>
                <w:highlight w:val="none"/>
                <w:lang w:val="en-US" w:eastAsia="zh-CN"/>
              </w:rPr>
              <w:t>1</w:t>
            </w:r>
          </w:p>
          <w:p>
            <w:pPr>
              <w:jc w:val="center"/>
              <w:rPr>
                <w:rFonts w:hint="eastAsia"/>
                <w:color w:val="000000"/>
                <w:highlight w:val="none"/>
                <w:lang w:val="en-US" w:eastAsia="zh-CN"/>
              </w:rPr>
            </w:pPr>
          </w:p>
          <w:p>
            <w:pPr>
              <w:jc w:val="center"/>
              <w:rPr>
                <w:rFonts w:hint="eastAsia"/>
                <w:color w:val="000000"/>
                <w:highlight w:val="none"/>
                <w:lang w:val="en-US" w:eastAsia="zh-CN"/>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firstLine="210" w:firstLineChars="100"/>
              <w:jc w:val="both"/>
              <w:rPr>
                <w:rFonts w:hint="default"/>
                <w:color w:val="000000"/>
                <w:highlight w:val="none"/>
                <w:lang w:val="en-US" w:eastAsia="zh-CN"/>
              </w:rPr>
            </w:pPr>
            <w:r>
              <w:rPr>
                <w:rFonts w:hint="eastAsia"/>
                <w:color w:val="000000"/>
                <w:highlight w:val="none"/>
                <w:lang w:val="en-US" w:eastAsia="zh-CN"/>
              </w:rPr>
              <w:t>个</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color w:val="000000"/>
                <w:highlight w:val="none"/>
                <w:lang w:val="en-US" w:eastAsia="zh-CN"/>
              </w:rPr>
            </w:pPr>
            <w:r>
              <w:rPr>
                <w:rFonts w:hint="eastAsia"/>
                <w:color w:val="000000"/>
                <w:highlight w:val="none"/>
                <w:lang w:val="en-US" w:eastAsia="zh-CN"/>
              </w:rPr>
              <w:t>100%</w:t>
            </w:r>
          </w:p>
        </w:tc>
        <w:tc>
          <w:tcPr>
            <w:tcW w:w="5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90%</w:t>
            </w:r>
          </w:p>
        </w:tc>
        <w:tc>
          <w:tcPr>
            <w:tcW w:w="33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c>
          <w:tcPr>
            <w:tcW w:w="3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w:t>
            </w:r>
          </w:p>
        </w:tc>
        <w:tc>
          <w:tcPr>
            <w:tcW w:w="4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　</w:t>
            </w:r>
          </w:p>
          <w:p>
            <w:pPr>
              <w:jc w:val="center"/>
              <w:rPr>
                <w:rFonts w:hint="eastAsia"/>
                <w:color w:val="000000"/>
                <w:highlight w:val="none"/>
              </w:rPr>
            </w:pPr>
            <w:r>
              <w:rPr>
                <w:rFonts w:hint="eastAsia"/>
                <w:color w:val="000000"/>
                <w:highlight w:val="none"/>
              </w:rPr>
              <w:t>　</w:t>
            </w:r>
          </w:p>
          <w:p>
            <w:pPr>
              <w:jc w:val="center"/>
              <w:rPr>
                <w:rFonts w:hint="eastAsia"/>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203"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产出</w:t>
            </w:r>
          </w:p>
          <w:p>
            <w:pPr>
              <w:jc w:val="center"/>
              <w:rPr>
                <w:color w:val="000000"/>
                <w:highlight w:val="none"/>
              </w:rPr>
            </w:pPr>
            <w:r>
              <w:rPr>
                <w:rFonts w:hint="eastAsia"/>
                <w:color w:val="000000"/>
                <w:highlight w:val="none"/>
              </w:rPr>
              <w:t>指标</w:t>
            </w: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质量</w:t>
            </w:r>
          </w:p>
          <w:p>
            <w:pPr>
              <w:jc w:val="center"/>
              <w:rPr>
                <w:rFonts w:hint="eastAsia"/>
                <w:color w:val="000000"/>
                <w:highlight w:val="none"/>
              </w:rPr>
            </w:pPr>
            <w:r>
              <w:rPr>
                <w:rFonts w:hint="eastAsia"/>
                <w:color w:val="000000"/>
                <w:highlight w:val="none"/>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eastAsia="zh-CN"/>
              </w:rPr>
              <w:t>符合项目批复要求</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仿宋_GB2312" w:hAnsi="仿宋_GB2312" w:eastAsia="仿宋_GB2312" w:cs="仿宋_GB2312"/>
                <w:szCs w:val="21"/>
                <w:highlight w:val="none"/>
              </w:rPr>
            </w:pPr>
          </w:p>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highlight w:val="none"/>
              </w:rPr>
              <w:t>=</w:t>
            </w:r>
          </w:p>
          <w:p>
            <w:pPr>
              <w:jc w:val="center"/>
              <w:rPr>
                <w:rFonts w:hint="eastAsia" w:ascii="Times New Roman" w:hAnsi="Times New Roman" w:eastAsia="宋体" w:cs="Times New Roman"/>
                <w:color w:val="000000"/>
                <w:kern w:val="2"/>
                <w:sz w:val="21"/>
                <w:szCs w:val="24"/>
                <w:highlight w:val="none"/>
                <w:lang w:val="en-US" w:eastAsia="zh-CN" w:bidi="ar-SA"/>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highlight w:val="none"/>
                <w:lang w:eastAsia="zh-CN"/>
              </w:rPr>
            </w:pPr>
            <w:r>
              <w:rPr>
                <w:rFonts w:hint="eastAsia"/>
                <w:color w:val="000000"/>
                <w:highlight w:val="none"/>
                <w:lang w:eastAsia="zh-CN"/>
              </w:rPr>
              <w:t>符合</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eastAsia="zh-CN"/>
              </w:rPr>
              <w:t>项</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highlight w:val="none"/>
                <w:lang w:eastAsia="zh-CN"/>
              </w:rPr>
            </w:pPr>
            <w:r>
              <w:rPr>
                <w:rFonts w:hint="eastAsia"/>
                <w:color w:val="000000"/>
                <w:highlight w:val="none"/>
                <w:lang w:eastAsia="zh-CN"/>
              </w:rPr>
              <w:t>完成</w:t>
            </w:r>
          </w:p>
        </w:tc>
        <w:tc>
          <w:tcPr>
            <w:tcW w:w="5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33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c>
          <w:tcPr>
            <w:tcW w:w="3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c>
          <w:tcPr>
            <w:tcW w:w="4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highlight w:val="none"/>
                <w:lang w:eastAsia="zh-CN"/>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96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时效</w:t>
            </w:r>
          </w:p>
          <w:p>
            <w:pPr>
              <w:jc w:val="center"/>
              <w:rPr>
                <w:color w:val="000000"/>
                <w:highlight w:val="none"/>
              </w:rPr>
            </w:pPr>
            <w:r>
              <w:rPr>
                <w:rFonts w:hint="eastAsia"/>
                <w:color w:val="000000"/>
                <w:highlight w:val="none"/>
              </w:rPr>
              <w:t>指标</w:t>
            </w:r>
          </w:p>
        </w:tc>
        <w:tc>
          <w:tcPr>
            <w:tcW w:w="65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highlight w:val="none"/>
                <w:lang w:eastAsia="zh-CN"/>
              </w:rPr>
            </w:pPr>
            <w:r>
              <w:rPr>
                <w:rFonts w:hint="eastAsia" w:ascii="宋体" w:hAnsi="宋体" w:cs="宋体"/>
                <w:color w:val="000000"/>
                <w:szCs w:val="21"/>
                <w:lang w:eastAsia="zh-CN"/>
              </w:rPr>
              <w:t>实施期计划任务完成率</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color w:val="000000"/>
                <w:highlight w:val="none"/>
              </w:rPr>
            </w:pPr>
            <w:r>
              <w:rPr>
                <w:rFonts w:hint="eastAsia" w:ascii="仿宋_GB2312" w:hAnsi="仿宋_GB2312" w:eastAsia="仿宋_GB2312" w:cs="仿宋_GB2312"/>
                <w:szCs w:val="21"/>
              </w:rPr>
              <w:t>≥</w:t>
            </w:r>
          </w:p>
        </w:tc>
        <w:tc>
          <w:tcPr>
            <w:tcW w:w="40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43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Cs w:val="21"/>
                <w:lang w:val="en-US" w:eastAsia="zh-CN"/>
              </w:rPr>
              <w:t>%</w:t>
            </w:r>
          </w:p>
        </w:tc>
        <w:tc>
          <w:tcPr>
            <w:tcW w:w="567"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5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100%</w:t>
            </w:r>
          </w:p>
        </w:tc>
        <w:tc>
          <w:tcPr>
            <w:tcW w:w="33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c>
          <w:tcPr>
            <w:tcW w:w="38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c>
          <w:tcPr>
            <w:tcW w:w="47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　</w:t>
            </w:r>
          </w:p>
          <w:p>
            <w:pPr>
              <w:jc w:val="center"/>
              <w:rPr>
                <w:rFonts w:hint="eastAsia"/>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58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　</w:t>
            </w:r>
          </w:p>
          <w:p>
            <w:pPr>
              <w:jc w:val="center"/>
              <w:rPr>
                <w:rFonts w:hint="eastAsia"/>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　</w:t>
            </w:r>
          </w:p>
          <w:p>
            <w:pPr>
              <w:jc w:val="center"/>
              <w:rPr>
                <w:rFonts w:hint="eastAsia"/>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94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成本</w:t>
            </w:r>
          </w:p>
          <w:p>
            <w:pPr>
              <w:jc w:val="center"/>
              <w:rPr>
                <w:color w:val="000000"/>
                <w:highlight w:val="none"/>
              </w:rPr>
            </w:pPr>
            <w:r>
              <w:rPr>
                <w:rFonts w:hint="eastAsia"/>
                <w:color w:val="000000"/>
                <w:highlight w:val="none"/>
              </w:rPr>
              <w:t>指标</w:t>
            </w:r>
          </w:p>
        </w:tc>
        <w:tc>
          <w:tcPr>
            <w:tcW w:w="65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highlight w:val="none"/>
                <w:lang w:eastAsia="zh-CN"/>
              </w:rPr>
            </w:pPr>
            <w:r>
              <w:rPr>
                <w:rFonts w:hint="eastAsia"/>
                <w:color w:val="000000"/>
                <w:highlight w:val="none"/>
                <w:lang w:eastAsia="zh-CN"/>
              </w:rPr>
              <w:t>经费支出规范性</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规范</w:t>
            </w:r>
          </w:p>
        </w:tc>
        <w:tc>
          <w:tcPr>
            <w:tcW w:w="43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w:t>
            </w:r>
          </w:p>
        </w:tc>
        <w:tc>
          <w:tcPr>
            <w:tcW w:w="567"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5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100%</w:t>
            </w:r>
          </w:p>
        </w:tc>
        <w:tc>
          <w:tcPr>
            <w:tcW w:w="33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c>
          <w:tcPr>
            <w:tcW w:w="38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c>
          <w:tcPr>
            <w:tcW w:w="47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　</w:t>
            </w:r>
          </w:p>
          <w:p>
            <w:pPr>
              <w:jc w:val="center"/>
              <w:rPr>
                <w:rFonts w:hint="eastAsia"/>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58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　</w:t>
            </w:r>
          </w:p>
          <w:p>
            <w:pPr>
              <w:jc w:val="center"/>
              <w:rPr>
                <w:rFonts w:hint="eastAsia"/>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nil"/>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　</w:t>
            </w:r>
          </w:p>
          <w:p>
            <w:pPr>
              <w:jc w:val="center"/>
              <w:rPr>
                <w:rFonts w:hint="eastAsia"/>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0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rPr>
              <w:t>经济效益指标</w:t>
            </w:r>
          </w:p>
        </w:tc>
        <w:tc>
          <w:tcPr>
            <w:tcW w:w="65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建设投资支付率</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ascii="仿宋_GB2312" w:hAnsi="仿宋_GB2312" w:eastAsia="仿宋_GB2312" w:cs="仿宋_GB2312"/>
                <w:szCs w:val="21"/>
              </w:rPr>
              <w:t>≥</w:t>
            </w:r>
          </w:p>
        </w:tc>
        <w:tc>
          <w:tcPr>
            <w:tcW w:w="40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s="Times New Roman"/>
                <w:color w:val="000000"/>
                <w:kern w:val="2"/>
                <w:sz w:val="21"/>
                <w:szCs w:val="24"/>
                <w:highlight w:val="none"/>
                <w:lang w:val="en-US" w:eastAsia="zh-CN" w:bidi="ar-SA"/>
              </w:rPr>
              <w:t>1</w:t>
            </w:r>
          </w:p>
        </w:tc>
        <w:tc>
          <w:tcPr>
            <w:tcW w:w="43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eastAsia="zh-CN"/>
              </w:rPr>
              <w:t>次</w:t>
            </w:r>
          </w:p>
        </w:tc>
        <w:tc>
          <w:tcPr>
            <w:tcW w:w="567"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完成</w:t>
            </w:r>
          </w:p>
        </w:tc>
        <w:tc>
          <w:tcPr>
            <w:tcW w:w="5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60%</w:t>
            </w:r>
          </w:p>
        </w:tc>
        <w:tc>
          <w:tcPr>
            <w:tcW w:w="33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w:t>
            </w:r>
          </w:p>
        </w:tc>
        <w:tc>
          <w:tcPr>
            <w:tcW w:w="38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6</w:t>
            </w:r>
          </w:p>
        </w:tc>
        <w:tc>
          <w:tcPr>
            <w:tcW w:w="47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8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49"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9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bidi="ar"/>
              </w:rPr>
              <w:t>√</w:t>
            </w:r>
          </w:p>
        </w:tc>
        <w:tc>
          <w:tcPr>
            <w:tcW w:w="553"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0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rPr>
              <w:t>社会效益指标</w:t>
            </w:r>
          </w:p>
        </w:tc>
        <w:tc>
          <w:tcPr>
            <w:tcW w:w="65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rPr>
              <w:t>丰富群众文化生活</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ascii="仿宋_GB2312" w:hAnsi="仿宋_GB2312" w:eastAsia="仿宋_GB2312" w:cs="仿宋_GB2312"/>
                <w:szCs w:val="21"/>
              </w:rPr>
              <w:t>≥</w:t>
            </w:r>
          </w:p>
        </w:tc>
        <w:tc>
          <w:tcPr>
            <w:tcW w:w="40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s="Times New Roman"/>
                <w:color w:val="000000"/>
                <w:kern w:val="2"/>
                <w:sz w:val="21"/>
                <w:szCs w:val="24"/>
                <w:highlight w:val="none"/>
                <w:lang w:val="en-US" w:eastAsia="zh-CN" w:bidi="ar-SA"/>
              </w:rPr>
              <w:t>丰富</w:t>
            </w:r>
          </w:p>
        </w:tc>
        <w:tc>
          <w:tcPr>
            <w:tcW w:w="43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eastAsia="zh-CN"/>
              </w:rPr>
              <w:t>次</w:t>
            </w:r>
          </w:p>
        </w:tc>
        <w:tc>
          <w:tcPr>
            <w:tcW w:w="567"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完成</w:t>
            </w:r>
          </w:p>
        </w:tc>
        <w:tc>
          <w:tcPr>
            <w:tcW w:w="5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33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w:t>
            </w:r>
          </w:p>
        </w:tc>
        <w:tc>
          <w:tcPr>
            <w:tcW w:w="38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w:t>
            </w:r>
          </w:p>
        </w:tc>
        <w:tc>
          <w:tcPr>
            <w:tcW w:w="47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8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49"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9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05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restart"/>
            <w:tcBorders>
              <w:top w:val="single" w:color="auto" w:sz="4" w:space="0"/>
              <w:left w:val="single" w:color="auto" w:sz="4" w:space="0"/>
              <w:right w:val="single" w:color="auto" w:sz="4" w:space="0"/>
            </w:tcBorders>
            <w:noWrap w:val="0"/>
            <w:vAlign w:val="center"/>
          </w:tcPr>
          <w:p>
            <w:pPr>
              <w:rPr>
                <w:color w:val="000000"/>
                <w:highlight w:val="none"/>
              </w:rPr>
            </w:pP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生态效益指标</w:t>
            </w:r>
          </w:p>
        </w:tc>
        <w:tc>
          <w:tcPr>
            <w:tcW w:w="65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lang w:eastAsia="zh-CN"/>
              </w:rPr>
              <w:t>创新生态改善</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highlight w:val="none"/>
                <w:lang w:eastAsia="zh-CN"/>
              </w:rPr>
            </w:pPr>
            <w:r>
              <w:rPr>
                <w:rFonts w:hint="eastAsia"/>
                <w:color w:val="000000"/>
                <w:highlight w:val="none"/>
                <w:lang w:eastAsia="zh-CN"/>
              </w:rPr>
              <w:t>提升</w:t>
            </w:r>
          </w:p>
        </w:tc>
        <w:tc>
          <w:tcPr>
            <w:tcW w:w="43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eastAsia="zh-CN"/>
              </w:rPr>
              <w:t>项</w:t>
            </w:r>
          </w:p>
        </w:tc>
        <w:tc>
          <w:tcPr>
            <w:tcW w:w="567"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highlight w:val="none"/>
                <w:lang w:eastAsia="zh-CN"/>
              </w:rPr>
            </w:pPr>
            <w:r>
              <w:rPr>
                <w:rFonts w:hint="eastAsia"/>
                <w:color w:val="000000"/>
                <w:highlight w:val="none"/>
                <w:lang w:eastAsia="zh-CN"/>
              </w:rPr>
              <w:t>完成</w:t>
            </w:r>
          </w:p>
        </w:tc>
        <w:tc>
          <w:tcPr>
            <w:tcW w:w="5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90%</w:t>
            </w:r>
          </w:p>
        </w:tc>
        <w:tc>
          <w:tcPr>
            <w:tcW w:w="33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c>
          <w:tcPr>
            <w:tcW w:w="38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5</w:t>
            </w:r>
          </w:p>
        </w:tc>
        <w:tc>
          <w:tcPr>
            <w:tcW w:w="47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8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3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可持续影响指标</w:t>
            </w:r>
          </w:p>
        </w:tc>
        <w:tc>
          <w:tcPr>
            <w:tcW w:w="65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highlight w:val="none"/>
                <w:lang w:eastAsia="zh-CN"/>
              </w:rPr>
            </w:pPr>
            <w:r>
              <w:rPr>
                <w:rFonts w:hint="eastAsia"/>
                <w:color w:val="000000"/>
                <w:highlight w:val="none"/>
                <w:lang w:eastAsia="zh-CN"/>
              </w:rPr>
              <w:t>提升活动质量</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c>
          <w:tcPr>
            <w:tcW w:w="40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highlight w:val="none"/>
                <w:lang w:eastAsia="zh-CN"/>
              </w:rPr>
            </w:pPr>
            <w:r>
              <w:rPr>
                <w:rFonts w:hint="eastAsia"/>
                <w:color w:val="000000"/>
                <w:highlight w:val="none"/>
                <w:lang w:eastAsia="zh-CN"/>
              </w:rPr>
              <w:t>提升</w:t>
            </w:r>
          </w:p>
        </w:tc>
        <w:tc>
          <w:tcPr>
            <w:tcW w:w="43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highlight w:val="none"/>
                <w:lang w:eastAsia="zh-CN"/>
              </w:rPr>
            </w:pPr>
            <w:r>
              <w:rPr>
                <w:rFonts w:hint="eastAsia"/>
                <w:color w:val="000000"/>
                <w:highlight w:val="none"/>
                <w:lang w:eastAsia="zh-CN"/>
              </w:rPr>
              <w:t>完成</w:t>
            </w:r>
          </w:p>
        </w:tc>
        <w:tc>
          <w:tcPr>
            <w:tcW w:w="5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90%</w:t>
            </w:r>
          </w:p>
        </w:tc>
        <w:tc>
          <w:tcPr>
            <w:tcW w:w="33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c>
          <w:tcPr>
            <w:tcW w:w="38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8</w:t>
            </w:r>
          </w:p>
        </w:tc>
        <w:tc>
          <w:tcPr>
            <w:tcW w:w="47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8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56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满意度指标</w:t>
            </w: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服务对象满意度指标</w:t>
            </w:r>
          </w:p>
        </w:tc>
        <w:tc>
          <w:tcPr>
            <w:tcW w:w="65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highlight w:val="none"/>
                <w:lang w:eastAsia="zh-CN"/>
              </w:rPr>
            </w:pPr>
            <w:r>
              <w:rPr>
                <w:rFonts w:hint="eastAsia"/>
                <w:color w:val="000000"/>
                <w:highlight w:val="none"/>
                <w:lang w:eastAsia="zh-CN"/>
              </w:rPr>
              <w:t>满意程度</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ascii="仿宋_GB2312" w:hAnsi="仿宋_GB2312" w:eastAsia="仿宋_GB2312" w:cs="仿宋_GB2312"/>
                <w:szCs w:val="21"/>
              </w:rPr>
              <w:t>≥</w:t>
            </w:r>
          </w:p>
        </w:tc>
        <w:tc>
          <w:tcPr>
            <w:tcW w:w="40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满意</w:t>
            </w:r>
          </w:p>
        </w:tc>
        <w:tc>
          <w:tcPr>
            <w:tcW w:w="43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w:t>
            </w:r>
          </w:p>
        </w:tc>
        <w:tc>
          <w:tcPr>
            <w:tcW w:w="567"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5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33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20</w:t>
            </w:r>
          </w:p>
        </w:tc>
        <w:tc>
          <w:tcPr>
            <w:tcW w:w="38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15</w:t>
            </w:r>
          </w:p>
        </w:tc>
        <w:tc>
          <w:tcPr>
            <w:tcW w:w="47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8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89" w:hRule="atLeast"/>
          <w:jc w:val="center"/>
        </w:trPr>
        <w:tc>
          <w:tcPr>
            <w:tcW w:w="4681"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highlight w:val="none"/>
              </w:rPr>
            </w:pPr>
            <w:r>
              <w:rPr>
                <w:rFonts w:hint="eastAsia"/>
                <w:color w:val="000000"/>
                <w:highlight w:val="none"/>
              </w:rPr>
              <w:t>产出、效益、满意度指标自评得分小计</w:t>
            </w:r>
          </w:p>
          <w:p>
            <w:pPr>
              <w:jc w:val="center"/>
              <w:rPr>
                <w:color w:val="000000"/>
                <w:highlight w:val="none"/>
              </w:rPr>
            </w:pPr>
            <w:r>
              <w:rPr>
                <w:rFonts w:hint="eastAsia"/>
                <w:color w:val="000000"/>
                <w:highlight w:val="none"/>
              </w:rPr>
              <w:t>（C）</w:t>
            </w:r>
          </w:p>
        </w:tc>
        <w:tc>
          <w:tcPr>
            <w:tcW w:w="71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83</w:t>
            </w:r>
          </w:p>
        </w:tc>
        <w:tc>
          <w:tcPr>
            <w:tcW w:w="2263"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预算执行率得分</w:t>
            </w:r>
          </w:p>
          <w:p>
            <w:pPr>
              <w:jc w:val="center"/>
              <w:rPr>
                <w:color w:val="000000"/>
                <w:highlight w:val="none"/>
              </w:rPr>
            </w:pPr>
            <w:r>
              <w:rPr>
                <w:rFonts w:hint="eastAsia"/>
                <w:color w:val="000000"/>
                <w:highlight w:val="none"/>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5</w:t>
            </w:r>
          </w:p>
        </w:tc>
      </w:tr>
      <w:tr>
        <w:tblPrEx>
          <w:tblCellMar>
            <w:top w:w="0" w:type="dxa"/>
            <w:left w:w="0" w:type="dxa"/>
            <w:bottom w:w="0" w:type="dxa"/>
            <w:right w:w="0" w:type="dxa"/>
          </w:tblCellMar>
        </w:tblPrEx>
        <w:trPr>
          <w:trHeight w:val="414"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highlight w:val="none"/>
              </w:rPr>
            </w:pPr>
            <w:r>
              <w:rPr>
                <w:rFonts w:hint="eastAsia"/>
                <w:color w:val="000000"/>
                <w:highlight w:val="none"/>
              </w:rPr>
              <w:t>绩效自评总得分（C+D）</w:t>
            </w:r>
          </w:p>
        </w:tc>
        <w:tc>
          <w:tcPr>
            <w:tcW w:w="7913" w:type="dxa"/>
            <w:gridSpan w:val="1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88</w:t>
            </w:r>
          </w:p>
        </w:tc>
      </w:tr>
      <w:tr>
        <w:tblPrEx>
          <w:tblCellMar>
            <w:top w:w="0" w:type="dxa"/>
            <w:left w:w="0" w:type="dxa"/>
            <w:bottom w:w="0" w:type="dxa"/>
            <w:right w:w="0" w:type="dxa"/>
          </w:tblCellMar>
        </w:tblPrEx>
        <w:trPr>
          <w:trHeight w:val="652"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说明</w:t>
            </w:r>
          </w:p>
        </w:tc>
        <w:tc>
          <w:tcPr>
            <w:tcW w:w="7913" w:type="dxa"/>
            <w:gridSpan w:val="1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color w:val="000000"/>
                <w:highlight w:val="none"/>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结果应用建议</w:t>
            </w:r>
          </w:p>
          <w:p>
            <w:pPr>
              <w:widowControl/>
              <w:jc w:val="center"/>
              <w:textAlignment w:val="center"/>
              <w:rPr>
                <w:color w:val="000000"/>
                <w:highlight w:val="none"/>
              </w:rPr>
            </w:pPr>
            <w:r>
              <w:rPr>
                <w:rFonts w:hint="eastAsia" w:ascii="宋体" w:hAnsi="宋体" w:cs="宋体"/>
                <w:color w:val="000000"/>
                <w:kern w:val="0"/>
                <w:szCs w:val="21"/>
                <w:highlight w:val="none"/>
                <w:lang w:bidi="ar"/>
              </w:rPr>
              <w:t>（请在相应选项</w:t>
            </w:r>
            <w:r>
              <w:rPr>
                <w:rFonts w:hint="eastAsia" w:ascii="宋体" w:hAnsi="宋体" w:cs="宋体"/>
                <w:color w:val="000000"/>
                <w:szCs w:val="21"/>
                <w:highlight w:val="none"/>
              </w:rPr>
              <w:t>□内</w:t>
            </w:r>
            <w:r>
              <w:rPr>
                <w:rFonts w:hint="eastAsia" w:ascii="宋体" w:hAnsi="宋体" w:cs="宋体"/>
                <w:color w:val="000000"/>
                <w:kern w:val="0"/>
                <w:szCs w:val="21"/>
                <w:highlight w:val="none"/>
                <w:lang w:bidi="ar"/>
              </w:rPr>
              <w:t>划“√”并在“具体建议内容”栏阐述）</w:t>
            </w: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Cs w:val="21"/>
                <w:highlight w:val="none"/>
              </w:rPr>
              <w:t>结果应用建议选项</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Cs w:val="21"/>
                <w:highlight w:val="none"/>
              </w:rPr>
              <w:t>具体建议内容</w:t>
            </w:r>
          </w:p>
        </w:tc>
      </w:tr>
      <w:tr>
        <w:tblPrEx>
          <w:tblCellMar>
            <w:top w:w="0" w:type="dxa"/>
            <w:left w:w="0" w:type="dxa"/>
            <w:bottom w:w="0" w:type="dxa"/>
            <w:right w:w="0" w:type="dxa"/>
          </w:tblCellMar>
        </w:tblPrEx>
        <w:trPr>
          <w:trHeight w:val="414"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改进预算项目管理（改进措施和方式）</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414"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□规范财政资金管理</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414"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□完善制度设计，建议进行</w:t>
            </w:r>
            <w:r>
              <w:rPr>
                <w:rFonts w:hint="eastAsia" w:ascii="宋体" w:hAnsi="宋体" w:cs="宋体"/>
                <w:color w:val="000000"/>
                <w:kern w:val="0"/>
                <w:szCs w:val="21"/>
                <w:highlight w:val="none"/>
                <w:lang w:bidi="ar"/>
              </w:rPr>
              <w:t>政策调整</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414"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政策到期，建议重新发布</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58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□建议</w:t>
            </w:r>
            <w:r>
              <w:rPr>
                <w:rFonts w:hint="eastAsia" w:ascii="宋体" w:hAnsi="宋体" w:cs="宋体"/>
                <w:color w:val="000000"/>
                <w:kern w:val="0"/>
                <w:szCs w:val="21"/>
                <w:highlight w:val="none"/>
                <w:lang w:bidi="ar"/>
              </w:rPr>
              <w:t>调整公共服务标准</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414"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□其他建议</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43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主管</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部门</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审核</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意见</w:t>
            </w:r>
          </w:p>
          <w:p>
            <w:pPr>
              <w:widowControl/>
              <w:jc w:val="center"/>
              <w:textAlignment w:val="center"/>
              <w:rPr>
                <w:color w:val="000000"/>
                <w:highlight w:val="none"/>
              </w:rPr>
            </w:pPr>
            <w:r>
              <w:rPr>
                <w:rFonts w:hint="eastAsia" w:ascii="宋体" w:hAnsi="宋体" w:cs="宋体"/>
                <w:color w:val="000000"/>
                <w:kern w:val="0"/>
                <w:szCs w:val="21"/>
                <w:highlight w:val="none"/>
                <w:lang w:bidi="ar"/>
              </w:rPr>
              <w:t>（请在相应选项</w:t>
            </w:r>
            <w:r>
              <w:rPr>
                <w:rFonts w:hint="eastAsia" w:ascii="宋体" w:hAnsi="宋体" w:cs="宋体"/>
                <w:color w:val="000000"/>
                <w:szCs w:val="21"/>
                <w:highlight w:val="none"/>
              </w:rPr>
              <w:t>□内</w:t>
            </w:r>
            <w:r>
              <w:rPr>
                <w:rFonts w:hint="eastAsia" w:ascii="宋体" w:hAnsi="宋体" w:cs="宋体"/>
                <w:color w:val="000000"/>
                <w:kern w:val="0"/>
                <w:szCs w:val="21"/>
                <w:highlight w:val="none"/>
                <w:lang w:bidi="ar"/>
              </w:rPr>
              <w:t>划“√”，如有其他意见请在“总体意见”栏阐述，下同）</w:t>
            </w: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Cs w:val="21"/>
                <w:highlight w:val="none"/>
              </w:rPr>
              <w:t>具体审核意见</w:t>
            </w:r>
          </w:p>
        </w:tc>
        <w:tc>
          <w:tcPr>
            <w:tcW w:w="3883" w:type="dxa"/>
            <w:gridSpan w:val="10"/>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总体意见：</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p>
          <w:p>
            <w:pPr>
              <w:widowControl/>
              <w:jc w:val="left"/>
              <w:textAlignment w:val="top"/>
              <w:rPr>
                <w:rFonts w:hint="eastAsia" w:ascii="宋体" w:hAnsi="宋体" w:cs="宋体"/>
                <w:color w:val="000000"/>
                <w:kern w:val="0"/>
                <w:szCs w:val="21"/>
                <w:highlight w:val="none"/>
                <w:lang w:bidi="ar"/>
              </w:rPr>
            </w:pPr>
          </w:p>
          <w:p>
            <w:pPr>
              <w:rPr>
                <w:rFonts w:hint="eastAsia" w:ascii="宋体" w:hAnsi="宋体" w:cs="宋体"/>
                <w:color w:val="000000"/>
                <w:kern w:val="0"/>
                <w:szCs w:val="21"/>
                <w:highlight w:val="none"/>
                <w:lang w:bidi="ar"/>
              </w:rPr>
            </w:pPr>
          </w:p>
          <w:p>
            <w:pPr>
              <w:rPr>
                <w:rFonts w:hint="eastAsia" w:ascii="宋体" w:hAnsi="宋体" w:cs="宋体"/>
                <w:color w:val="000000"/>
                <w:kern w:val="0"/>
                <w:szCs w:val="21"/>
                <w:highlight w:val="none"/>
                <w:lang w:bidi="ar"/>
              </w:rPr>
            </w:pPr>
          </w:p>
          <w:p>
            <w:pPr>
              <w:rPr>
                <w:rFonts w:hint="eastAsia" w:ascii="宋体" w:hAnsi="宋体" w:cs="宋体"/>
                <w:color w:val="000000"/>
                <w:kern w:val="0"/>
                <w:szCs w:val="21"/>
                <w:highlight w:val="none"/>
                <w:lang w:bidi="ar"/>
              </w:rPr>
            </w:pPr>
          </w:p>
          <w:p>
            <w:pPr>
              <w:rPr>
                <w:rFonts w:hint="eastAsia" w:ascii="宋体" w:hAnsi="宋体" w:cs="宋体"/>
                <w:color w:val="000000"/>
                <w:kern w:val="0"/>
                <w:szCs w:val="21"/>
                <w:highlight w:val="none"/>
                <w:lang w:bidi="ar"/>
              </w:rPr>
            </w:pPr>
          </w:p>
          <w:p>
            <w:pPr>
              <w:rPr>
                <w:rFonts w:hint="eastAsia"/>
                <w:color w:val="000000"/>
                <w:highlight w:val="none"/>
              </w:rPr>
            </w:pP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主管部门公章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年  月  日</w:t>
            </w:r>
          </w:p>
        </w:tc>
      </w:tr>
      <w:tr>
        <w:tblPrEx>
          <w:tblCellMar>
            <w:top w:w="0" w:type="dxa"/>
            <w:left w:w="0" w:type="dxa"/>
            <w:bottom w:w="0" w:type="dxa"/>
            <w:right w:w="0" w:type="dxa"/>
          </w:tblCellMar>
        </w:tblPrEx>
        <w:trPr>
          <w:trHeight w:val="432"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□建议继续全额安排</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color w:val="000000"/>
                <w:highlight w:val="none"/>
              </w:rPr>
            </w:pPr>
          </w:p>
        </w:tc>
      </w:tr>
      <w:tr>
        <w:tblPrEx>
          <w:tblCellMar>
            <w:top w:w="0" w:type="dxa"/>
            <w:left w:w="0" w:type="dxa"/>
            <w:bottom w:w="0" w:type="dxa"/>
            <w:right w:w="0" w:type="dxa"/>
          </w:tblCellMar>
        </w:tblPrEx>
        <w:trPr>
          <w:trHeight w:val="414"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ascii="宋体" w:hAnsi="宋体" w:cs="宋体"/>
                <w:color w:val="000000"/>
                <w:szCs w:val="21"/>
                <w:highlight w:val="none"/>
              </w:rPr>
            </w:pPr>
            <w:r>
              <w:rPr>
                <w:rFonts w:hint="eastAsia" w:ascii="宋体" w:hAnsi="宋体" w:cs="宋体"/>
                <w:color w:val="000000"/>
                <w:szCs w:val="21"/>
                <w:highlight w:val="none"/>
              </w:rPr>
              <w:t>□建议继续安排，</w:t>
            </w:r>
            <w:r>
              <w:rPr>
                <w:rFonts w:hint="eastAsia" w:ascii="宋体" w:hAnsi="宋体" w:cs="宋体"/>
                <w:color w:val="000000"/>
                <w:kern w:val="0"/>
                <w:szCs w:val="21"/>
                <w:highlight w:val="none"/>
                <w:lang w:bidi="ar"/>
              </w:rPr>
              <w:t>按规定调整下一年度预算金额</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rFonts w:hint="eastAsia" w:ascii="宋体" w:hAnsi="宋体" w:cs="宋体"/>
                <w:color w:val="000000"/>
                <w:szCs w:val="21"/>
                <w:highlight w:val="none"/>
              </w:rPr>
            </w:pPr>
          </w:p>
        </w:tc>
      </w:tr>
      <w:tr>
        <w:tblPrEx>
          <w:tblCellMar>
            <w:top w:w="0" w:type="dxa"/>
            <w:left w:w="0" w:type="dxa"/>
            <w:bottom w:w="0" w:type="dxa"/>
            <w:right w:w="0" w:type="dxa"/>
          </w:tblCellMar>
        </w:tblPrEx>
        <w:trPr>
          <w:trHeight w:val="382"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ascii="宋体" w:hAnsi="宋体" w:cs="宋体"/>
                <w:color w:val="000000"/>
                <w:szCs w:val="21"/>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改进预算项目管理</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rFonts w:hint="eastAsia" w:ascii="宋体" w:hAnsi="宋体" w:cs="宋体"/>
                <w:color w:val="000000"/>
                <w:szCs w:val="21"/>
                <w:highlight w:val="none"/>
              </w:rPr>
            </w:pPr>
          </w:p>
        </w:tc>
      </w:tr>
      <w:tr>
        <w:tblPrEx>
          <w:tblCellMar>
            <w:top w:w="0" w:type="dxa"/>
            <w:left w:w="0" w:type="dxa"/>
            <w:bottom w:w="0" w:type="dxa"/>
            <w:right w:w="0" w:type="dxa"/>
          </w:tblCellMar>
        </w:tblPrEx>
        <w:trPr>
          <w:trHeight w:val="398"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□规范财政资金管理</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color w:val="000000"/>
                <w:highlight w:val="none"/>
              </w:rPr>
            </w:pPr>
          </w:p>
        </w:tc>
      </w:tr>
      <w:tr>
        <w:tblPrEx>
          <w:tblCellMar>
            <w:top w:w="0" w:type="dxa"/>
            <w:left w:w="0" w:type="dxa"/>
            <w:bottom w:w="0" w:type="dxa"/>
            <w:right w:w="0" w:type="dxa"/>
          </w:tblCellMar>
        </w:tblPrEx>
        <w:trPr>
          <w:trHeight w:val="364"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□进行</w:t>
            </w:r>
            <w:r>
              <w:rPr>
                <w:rFonts w:hint="eastAsia" w:ascii="宋体" w:hAnsi="宋体" w:cs="宋体"/>
                <w:color w:val="000000"/>
                <w:kern w:val="0"/>
                <w:szCs w:val="21"/>
                <w:highlight w:val="none"/>
                <w:lang w:bidi="ar"/>
              </w:rPr>
              <w:t>政策调整</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color w:val="000000"/>
                <w:highlight w:val="none"/>
              </w:rPr>
            </w:pPr>
          </w:p>
        </w:tc>
      </w:tr>
      <w:tr>
        <w:tblPrEx>
          <w:tblCellMar>
            <w:top w:w="0" w:type="dxa"/>
            <w:left w:w="0" w:type="dxa"/>
            <w:bottom w:w="0" w:type="dxa"/>
            <w:right w:w="0" w:type="dxa"/>
          </w:tblCellMar>
        </w:tblPrEx>
        <w:trPr>
          <w:trHeight w:val="387"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政策到期重新发布</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color w:val="000000"/>
                <w:highlight w:val="none"/>
              </w:rPr>
            </w:pPr>
          </w:p>
        </w:tc>
      </w:tr>
      <w:tr>
        <w:tblPrEx>
          <w:tblCellMar>
            <w:top w:w="0" w:type="dxa"/>
            <w:left w:w="0" w:type="dxa"/>
            <w:bottom w:w="0" w:type="dxa"/>
            <w:right w:w="0" w:type="dxa"/>
          </w:tblCellMar>
        </w:tblPrEx>
        <w:trPr>
          <w:trHeight w:val="38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调整公共服务标准</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color w:val="000000"/>
                <w:highlight w:val="none"/>
              </w:rPr>
            </w:pPr>
          </w:p>
        </w:tc>
      </w:tr>
      <w:tr>
        <w:tblPrEx>
          <w:tblCellMar>
            <w:top w:w="0" w:type="dxa"/>
            <w:left w:w="0" w:type="dxa"/>
            <w:bottom w:w="0" w:type="dxa"/>
            <w:right w:w="0" w:type="dxa"/>
          </w:tblCellMar>
        </w:tblPrEx>
        <w:trPr>
          <w:trHeight w:val="75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□其他意见</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color w:val="000000"/>
                <w:highlight w:val="none"/>
              </w:rPr>
            </w:pPr>
          </w:p>
        </w:tc>
      </w:tr>
      <w:tr>
        <w:tblPrEx>
          <w:tblCellMar>
            <w:top w:w="0" w:type="dxa"/>
            <w:left w:w="0" w:type="dxa"/>
            <w:bottom w:w="0" w:type="dxa"/>
            <w:right w:w="0" w:type="dxa"/>
          </w:tblCellMar>
        </w:tblPrEx>
        <w:trPr>
          <w:trHeight w:val="4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财政</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部门</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审核</w:t>
            </w:r>
          </w:p>
          <w:p>
            <w:pPr>
              <w:widowControl/>
              <w:jc w:val="center"/>
              <w:textAlignment w:val="center"/>
              <w:rPr>
                <w:color w:val="000000"/>
                <w:highlight w:val="none"/>
              </w:rPr>
            </w:pPr>
            <w:r>
              <w:rPr>
                <w:rFonts w:hint="eastAsia" w:ascii="宋体" w:hAnsi="宋体" w:cs="宋体"/>
                <w:color w:val="000000"/>
                <w:kern w:val="0"/>
                <w:szCs w:val="21"/>
                <w:highlight w:val="none"/>
                <w:lang w:bidi="ar"/>
              </w:rPr>
              <w:t>意见</w:t>
            </w: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Cs w:val="21"/>
                <w:highlight w:val="none"/>
              </w:rPr>
              <w:t>具体审核意见</w:t>
            </w:r>
          </w:p>
        </w:tc>
        <w:tc>
          <w:tcPr>
            <w:tcW w:w="3883" w:type="dxa"/>
            <w:gridSpan w:val="10"/>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总体意见：</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p>
          <w:p>
            <w:pPr>
              <w:widowControl/>
              <w:jc w:val="left"/>
              <w:textAlignment w:val="top"/>
              <w:rPr>
                <w:rFonts w:hint="eastAsia" w:ascii="宋体" w:hAnsi="宋体" w:cs="宋体"/>
                <w:color w:val="000000"/>
                <w:kern w:val="0"/>
                <w:szCs w:val="21"/>
                <w:highlight w:val="none"/>
                <w:lang w:bidi="ar"/>
              </w:rPr>
            </w:pPr>
          </w:p>
          <w:p>
            <w:pPr>
              <w:widowControl/>
              <w:jc w:val="left"/>
              <w:textAlignment w:val="top"/>
              <w:rPr>
                <w:rFonts w:hint="eastAsia" w:ascii="宋体" w:hAnsi="宋体" w:cs="宋体"/>
                <w:color w:val="000000"/>
                <w:kern w:val="0"/>
                <w:szCs w:val="21"/>
                <w:highlight w:val="none"/>
                <w:lang w:bidi="ar"/>
              </w:rPr>
            </w:pPr>
          </w:p>
          <w:p>
            <w:pPr>
              <w:widowControl/>
              <w:jc w:val="left"/>
              <w:textAlignment w:val="top"/>
              <w:rPr>
                <w:rFonts w:hint="eastAsia"/>
                <w:color w:val="000000"/>
                <w:highlight w:val="none"/>
              </w:rPr>
            </w:pP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业务</w:t>
            </w:r>
            <w:r>
              <w:rPr>
                <w:rFonts w:hint="eastAsia" w:ascii="宋体" w:hAnsi="宋体" w:cs="宋体"/>
                <w:color w:val="000000"/>
                <w:kern w:val="0"/>
                <w:szCs w:val="21"/>
                <w:highlight w:val="none"/>
                <w:lang w:val="en-US" w:eastAsia="zh-CN" w:bidi="ar"/>
              </w:rPr>
              <w:t>科</w:t>
            </w:r>
            <w:r>
              <w:rPr>
                <w:rFonts w:hint="eastAsia" w:ascii="宋体" w:hAnsi="宋体" w:cs="宋体"/>
                <w:color w:val="000000"/>
                <w:kern w:val="0"/>
                <w:szCs w:val="21"/>
                <w:highlight w:val="none"/>
                <w:lang w:bidi="ar"/>
              </w:rPr>
              <w:t xml:space="preserve">室公章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年  月  日</w:t>
            </w:r>
          </w:p>
        </w:tc>
      </w:tr>
      <w:tr>
        <w:tblPrEx>
          <w:tblCellMar>
            <w:top w:w="0" w:type="dxa"/>
            <w:left w:w="0" w:type="dxa"/>
            <w:bottom w:w="0" w:type="dxa"/>
            <w:right w:w="0" w:type="dxa"/>
          </w:tblCellMar>
        </w:tblPrEx>
        <w:trPr>
          <w:trHeight w:val="361" w:hRule="atLeast"/>
          <w:jc w:val="center"/>
        </w:trPr>
        <w:tc>
          <w:tcPr>
            <w:tcW w:w="1363" w:type="dxa"/>
            <w:gridSpan w:val="3"/>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rPr>
                <w:highlight w:val="none"/>
              </w:rPr>
            </w:pPr>
          </w:p>
        </w:tc>
        <w:tc>
          <w:tcPr>
            <w:tcW w:w="4030" w:type="dxa"/>
            <w:gridSpan w:val="8"/>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□建议继续全额安排</w:t>
            </w:r>
          </w:p>
        </w:tc>
        <w:tc>
          <w:tcPr>
            <w:tcW w:w="3883" w:type="dxa"/>
            <w:gridSpan w:val="10"/>
            <w:vMerge w:val="continue"/>
            <w:tcBorders>
              <w:top w:val="single" w:color="auto" w:sz="4" w:space="0"/>
              <w:left w:val="nil"/>
              <w:right w:val="single" w:color="auto" w:sz="4" w:space="0"/>
            </w:tcBorders>
            <w:noWrap w:val="0"/>
            <w:tcMar>
              <w:top w:w="15" w:type="dxa"/>
              <w:left w:w="15" w:type="dxa"/>
              <w:bottom w:w="0" w:type="dxa"/>
              <w:right w:w="15" w:type="dxa"/>
            </w:tcMar>
            <w:vAlign w:val="top"/>
          </w:tcPr>
          <w:p>
            <w:pPr>
              <w:ind w:firstLine="3360" w:firstLineChars="1600"/>
              <w:rPr>
                <w:rFonts w:hint="eastAsia"/>
                <w:color w:val="000000"/>
                <w:highlight w:val="none"/>
              </w:rPr>
            </w:pPr>
          </w:p>
        </w:tc>
      </w:tr>
      <w:tr>
        <w:tblPrEx>
          <w:tblCellMar>
            <w:top w:w="0" w:type="dxa"/>
            <w:left w:w="0" w:type="dxa"/>
            <w:bottom w:w="0" w:type="dxa"/>
            <w:right w:w="0" w:type="dxa"/>
          </w:tblCellMar>
        </w:tblPrEx>
        <w:trPr>
          <w:trHeight w:val="370" w:hRule="atLeast"/>
          <w:jc w:val="center"/>
        </w:trPr>
        <w:tc>
          <w:tcPr>
            <w:tcW w:w="1363" w:type="dxa"/>
            <w:gridSpan w:val="3"/>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rPr>
                <w:highlight w:val="none"/>
              </w:rPr>
            </w:pPr>
          </w:p>
        </w:tc>
        <w:tc>
          <w:tcPr>
            <w:tcW w:w="40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rFonts w:hint="eastAsia" w:ascii="宋体" w:hAnsi="宋体" w:cs="宋体"/>
                <w:color w:val="000000"/>
                <w:szCs w:val="21"/>
                <w:highlight w:val="none"/>
              </w:rPr>
            </w:pPr>
            <w:r>
              <w:rPr>
                <w:rFonts w:hint="eastAsia" w:ascii="宋体" w:hAnsi="宋体" w:cs="宋体"/>
                <w:color w:val="000000"/>
                <w:szCs w:val="21"/>
                <w:highlight w:val="none"/>
              </w:rPr>
              <w:t>□建议继续安排，</w:t>
            </w:r>
            <w:r>
              <w:rPr>
                <w:rFonts w:hint="eastAsia" w:ascii="宋体" w:hAnsi="宋体" w:cs="宋体"/>
                <w:color w:val="000000"/>
                <w:kern w:val="0"/>
                <w:szCs w:val="21"/>
                <w:highlight w:val="none"/>
                <w:lang w:bidi="ar"/>
              </w:rPr>
              <w:t>按规定调整下一年度预算金额</w:t>
            </w:r>
          </w:p>
        </w:tc>
        <w:tc>
          <w:tcPr>
            <w:tcW w:w="3883" w:type="dxa"/>
            <w:gridSpan w:val="10"/>
            <w:vMerge w:val="continue"/>
            <w:tcBorders>
              <w:left w:val="nil"/>
              <w:right w:val="single" w:color="auto" w:sz="4" w:space="0"/>
            </w:tcBorders>
            <w:noWrap w:val="0"/>
            <w:tcMar>
              <w:top w:w="15" w:type="dxa"/>
              <w:left w:w="15" w:type="dxa"/>
              <w:bottom w:w="0" w:type="dxa"/>
              <w:right w:w="15" w:type="dxa"/>
            </w:tcMar>
            <w:vAlign w:val="top"/>
          </w:tcPr>
          <w:p>
            <w:pPr>
              <w:jc w:val="left"/>
              <w:rPr>
                <w:rFonts w:hint="eastAsia" w:ascii="宋体" w:hAnsi="宋体" w:cs="宋体"/>
                <w:color w:val="000000"/>
                <w:szCs w:val="21"/>
                <w:highlight w:val="none"/>
              </w:rPr>
            </w:pPr>
          </w:p>
        </w:tc>
      </w:tr>
      <w:tr>
        <w:tblPrEx>
          <w:tblCellMar>
            <w:top w:w="0" w:type="dxa"/>
            <w:left w:w="0" w:type="dxa"/>
            <w:bottom w:w="0" w:type="dxa"/>
            <w:right w:w="0" w:type="dxa"/>
          </w:tblCellMar>
        </w:tblPrEx>
        <w:trPr>
          <w:trHeight w:val="354" w:hRule="atLeast"/>
          <w:jc w:val="center"/>
        </w:trPr>
        <w:tc>
          <w:tcPr>
            <w:tcW w:w="1363" w:type="dxa"/>
            <w:gridSpan w:val="3"/>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rPr>
                <w:rFonts w:hint="eastAsia" w:ascii="宋体" w:hAnsi="宋体" w:cs="宋体"/>
                <w:color w:val="000000"/>
                <w:szCs w:val="21"/>
                <w:highlight w:val="none"/>
              </w:rPr>
            </w:pPr>
          </w:p>
        </w:tc>
        <w:tc>
          <w:tcPr>
            <w:tcW w:w="40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改进预算项目管理</w:t>
            </w:r>
          </w:p>
        </w:tc>
        <w:tc>
          <w:tcPr>
            <w:tcW w:w="3883" w:type="dxa"/>
            <w:gridSpan w:val="10"/>
            <w:vMerge w:val="continue"/>
            <w:tcBorders>
              <w:left w:val="nil"/>
              <w:right w:val="single" w:color="auto" w:sz="4" w:space="0"/>
            </w:tcBorders>
            <w:noWrap w:val="0"/>
            <w:tcMar>
              <w:top w:w="15" w:type="dxa"/>
              <w:left w:w="15" w:type="dxa"/>
              <w:bottom w:w="0" w:type="dxa"/>
              <w:right w:w="15" w:type="dxa"/>
            </w:tcMar>
            <w:vAlign w:val="top"/>
          </w:tcPr>
          <w:p>
            <w:pPr>
              <w:jc w:val="left"/>
              <w:rPr>
                <w:rFonts w:hint="eastAsia" w:ascii="宋体" w:hAnsi="宋体" w:cs="宋体"/>
                <w:color w:val="000000"/>
                <w:szCs w:val="21"/>
                <w:highlight w:val="none"/>
              </w:rPr>
            </w:pPr>
          </w:p>
        </w:tc>
      </w:tr>
      <w:tr>
        <w:tblPrEx>
          <w:tblCellMar>
            <w:top w:w="0" w:type="dxa"/>
            <w:left w:w="0" w:type="dxa"/>
            <w:bottom w:w="0" w:type="dxa"/>
            <w:right w:w="0" w:type="dxa"/>
          </w:tblCellMar>
        </w:tblPrEx>
        <w:trPr>
          <w:trHeight w:val="398" w:hRule="atLeast"/>
          <w:jc w:val="center"/>
        </w:trPr>
        <w:tc>
          <w:tcPr>
            <w:tcW w:w="1363" w:type="dxa"/>
            <w:gridSpan w:val="3"/>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rFonts w:hint="eastAsia"/>
                <w:color w:val="000000"/>
                <w:highlight w:val="none"/>
              </w:rPr>
            </w:pPr>
          </w:p>
        </w:tc>
        <w:tc>
          <w:tcPr>
            <w:tcW w:w="40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□规范财政资金管理</w:t>
            </w:r>
          </w:p>
        </w:tc>
        <w:tc>
          <w:tcPr>
            <w:tcW w:w="3883" w:type="dxa"/>
            <w:gridSpan w:val="10"/>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rFonts w:hint="eastAsia"/>
                <w:color w:val="000000"/>
                <w:highlight w:val="none"/>
              </w:rPr>
            </w:pPr>
          </w:p>
        </w:tc>
      </w:tr>
      <w:tr>
        <w:tblPrEx>
          <w:tblCellMar>
            <w:top w:w="0" w:type="dxa"/>
            <w:left w:w="0" w:type="dxa"/>
            <w:bottom w:w="0" w:type="dxa"/>
            <w:right w:w="0" w:type="dxa"/>
          </w:tblCellMar>
        </w:tblPrEx>
        <w:trPr>
          <w:trHeight w:val="415" w:hRule="atLeast"/>
          <w:jc w:val="center"/>
        </w:trPr>
        <w:tc>
          <w:tcPr>
            <w:tcW w:w="1363" w:type="dxa"/>
            <w:gridSpan w:val="3"/>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rFonts w:hint="eastAsia"/>
                <w:color w:val="000000"/>
                <w:highlight w:val="none"/>
              </w:rPr>
            </w:pPr>
          </w:p>
        </w:tc>
        <w:tc>
          <w:tcPr>
            <w:tcW w:w="40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□进行</w:t>
            </w:r>
            <w:r>
              <w:rPr>
                <w:rFonts w:hint="eastAsia" w:ascii="宋体" w:hAnsi="宋体" w:cs="宋体"/>
                <w:color w:val="000000"/>
                <w:kern w:val="0"/>
                <w:szCs w:val="21"/>
                <w:highlight w:val="none"/>
                <w:lang w:bidi="ar"/>
              </w:rPr>
              <w:t>政策调整</w:t>
            </w:r>
          </w:p>
        </w:tc>
        <w:tc>
          <w:tcPr>
            <w:tcW w:w="3883" w:type="dxa"/>
            <w:gridSpan w:val="10"/>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rFonts w:hint="eastAsia"/>
                <w:color w:val="000000"/>
                <w:highlight w:val="none"/>
              </w:rPr>
            </w:pPr>
          </w:p>
        </w:tc>
      </w:tr>
      <w:tr>
        <w:tblPrEx>
          <w:tblCellMar>
            <w:top w:w="0" w:type="dxa"/>
            <w:left w:w="0" w:type="dxa"/>
            <w:bottom w:w="0" w:type="dxa"/>
            <w:right w:w="0" w:type="dxa"/>
          </w:tblCellMar>
        </w:tblPrEx>
        <w:trPr>
          <w:trHeight w:val="398" w:hRule="atLeast"/>
          <w:jc w:val="center"/>
        </w:trPr>
        <w:tc>
          <w:tcPr>
            <w:tcW w:w="1363" w:type="dxa"/>
            <w:gridSpan w:val="3"/>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rFonts w:hint="eastAsia"/>
                <w:color w:val="000000"/>
                <w:highlight w:val="none"/>
              </w:rPr>
            </w:pPr>
          </w:p>
        </w:tc>
        <w:tc>
          <w:tcPr>
            <w:tcW w:w="40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政策到期重新发布</w:t>
            </w:r>
          </w:p>
        </w:tc>
        <w:tc>
          <w:tcPr>
            <w:tcW w:w="3883" w:type="dxa"/>
            <w:gridSpan w:val="10"/>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rFonts w:hint="eastAsia"/>
                <w:color w:val="000000"/>
                <w:highlight w:val="none"/>
              </w:rPr>
            </w:pPr>
          </w:p>
        </w:tc>
      </w:tr>
      <w:tr>
        <w:tblPrEx>
          <w:tblCellMar>
            <w:top w:w="0" w:type="dxa"/>
            <w:left w:w="0" w:type="dxa"/>
            <w:bottom w:w="0" w:type="dxa"/>
            <w:right w:w="0" w:type="dxa"/>
          </w:tblCellMar>
        </w:tblPrEx>
        <w:trPr>
          <w:trHeight w:val="415" w:hRule="atLeast"/>
          <w:jc w:val="center"/>
        </w:trPr>
        <w:tc>
          <w:tcPr>
            <w:tcW w:w="1363" w:type="dxa"/>
            <w:gridSpan w:val="3"/>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rFonts w:hint="eastAsia"/>
                <w:color w:val="000000"/>
                <w:highlight w:val="none"/>
              </w:rPr>
            </w:pPr>
          </w:p>
        </w:tc>
        <w:tc>
          <w:tcPr>
            <w:tcW w:w="40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调整公共服务标准</w:t>
            </w:r>
          </w:p>
        </w:tc>
        <w:tc>
          <w:tcPr>
            <w:tcW w:w="3883" w:type="dxa"/>
            <w:gridSpan w:val="10"/>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rFonts w:hint="eastAsia"/>
                <w:color w:val="000000"/>
                <w:highlight w:val="none"/>
              </w:rPr>
            </w:pPr>
          </w:p>
        </w:tc>
      </w:tr>
      <w:tr>
        <w:tblPrEx>
          <w:tblCellMar>
            <w:top w:w="0" w:type="dxa"/>
            <w:left w:w="0" w:type="dxa"/>
            <w:bottom w:w="0" w:type="dxa"/>
            <w:right w:w="0" w:type="dxa"/>
          </w:tblCellMar>
        </w:tblPrEx>
        <w:trPr>
          <w:trHeight w:val="455" w:hRule="atLeast"/>
          <w:jc w:val="center"/>
        </w:trPr>
        <w:tc>
          <w:tcPr>
            <w:tcW w:w="1363" w:type="dxa"/>
            <w:gridSpan w:val="3"/>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top"/>
              <w:rPr>
                <w:rFonts w:hint="eastAsia"/>
                <w:color w:val="000000"/>
                <w:highlight w:val="none"/>
              </w:rPr>
            </w:pPr>
          </w:p>
        </w:tc>
        <w:tc>
          <w:tcPr>
            <w:tcW w:w="40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ascii="宋体" w:hAnsi="宋体" w:cs="宋体"/>
                <w:color w:val="000000"/>
                <w:szCs w:val="21"/>
                <w:highlight w:val="none"/>
              </w:rPr>
              <w:t>□其他意见</w:t>
            </w:r>
          </w:p>
        </w:tc>
        <w:tc>
          <w:tcPr>
            <w:tcW w:w="3883" w:type="dxa"/>
            <w:gridSpan w:val="10"/>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pPr>
              <w:ind w:firstLine="3360" w:firstLineChars="1600"/>
              <w:rPr>
                <w:rFonts w:hint="eastAsia"/>
                <w:color w:val="000000"/>
                <w:highlight w:val="none"/>
              </w:rPr>
            </w:pPr>
          </w:p>
        </w:tc>
      </w:tr>
      <w:tr>
        <w:tblPrEx>
          <w:tblCellMar>
            <w:top w:w="0" w:type="dxa"/>
            <w:left w:w="0" w:type="dxa"/>
            <w:bottom w:w="0" w:type="dxa"/>
            <w:right w:w="0" w:type="dxa"/>
          </w:tblCellMar>
        </w:tblPrEx>
        <w:trPr>
          <w:trHeight w:val="914" w:hRule="atLeast"/>
          <w:jc w:val="center"/>
        </w:trPr>
        <w:tc>
          <w:tcPr>
            <w:tcW w:w="9276" w:type="dxa"/>
            <w:gridSpan w:val="21"/>
            <w:noWrap w:val="0"/>
            <w:tcMar>
              <w:top w:w="15" w:type="dxa"/>
              <w:left w:w="15" w:type="dxa"/>
              <w:bottom w:w="0" w:type="dxa"/>
              <w:right w:w="15" w:type="dxa"/>
            </w:tcMar>
            <w:vAlign w:val="top"/>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注：1.项目预算金额以万元为单位,保留两位小数。</w:t>
            </w:r>
          </w:p>
          <w:p>
            <w:pPr>
              <w:widowControl/>
              <w:jc w:val="left"/>
              <w:textAlignment w:val="center"/>
              <w:rPr>
                <w:color w:val="000000"/>
                <w:highlight w:val="none"/>
              </w:rPr>
            </w:pPr>
            <w:r>
              <w:rPr>
                <w:rFonts w:hint="eastAsia" w:ascii="宋体" w:hAnsi="宋体" w:cs="宋体"/>
                <w:color w:val="000000"/>
                <w:kern w:val="0"/>
                <w:sz w:val="18"/>
                <w:szCs w:val="18"/>
                <w:highlight w:val="none"/>
                <w:lang w:bidi="ar"/>
              </w:rPr>
              <w:t xml:space="preserve">    2.未完成原因中可以同时勾选多项原因，并在原因说明中逐项进行说明。</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w:t>
            </w:r>
          </w:p>
        </w:tc>
      </w:tr>
    </w:tbl>
    <w:p>
      <w:pPr>
        <w:ind w:firstLine="640" w:firstLineChars="200"/>
        <w:rPr>
          <w:rFonts w:hint="eastAsia" w:ascii="仿宋_GB2312" w:eastAsia="仿宋_GB2312"/>
          <w:sz w:val="32"/>
          <w:szCs w:val="32"/>
          <w:highlight w:val="none"/>
          <w:lang w:val="en-US" w:eastAsia="zh-CN"/>
        </w:rPr>
      </w:pPr>
    </w:p>
    <w:p>
      <w:pPr>
        <w:ind w:firstLine="640" w:firstLineChars="200"/>
        <w:rPr>
          <w:rFonts w:hint="eastAsia" w:ascii="仿宋_GB2312" w:eastAsia="仿宋_GB2312"/>
          <w:sz w:val="32"/>
          <w:szCs w:val="32"/>
          <w:highlight w:val="none"/>
          <w:lang w:val="en-US" w:eastAsia="zh-CN"/>
        </w:rPr>
      </w:pPr>
    </w:p>
    <w:p>
      <w:pPr>
        <w:ind w:firstLine="640" w:firstLineChars="200"/>
        <w:rPr>
          <w:rFonts w:hint="eastAsia" w:ascii="仿宋_GB2312" w:eastAsia="仿宋_GB2312"/>
          <w:sz w:val="32"/>
          <w:szCs w:val="32"/>
          <w:highlight w:val="none"/>
          <w:lang w:val="en-US" w:eastAsia="zh-CN"/>
        </w:rPr>
      </w:pPr>
    </w:p>
    <w:p>
      <w:pPr>
        <w:ind w:firstLine="640" w:firstLineChars="200"/>
        <w:rPr>
          <w:rFonts w:hint="eastAsia" w:ascii="仿宋_GB2312" w:eastAsia="仿宋_GB2312"/>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48409"/>
    <w:multiLevelType w:val="singleLevel"/>
    <w:tmpl w:val="C0048409"/>
    <w:lvl w:ilvl="0" w:tentative="0">
      <w:start w:val="1"/>
      <w:numFmt w:val="chineseCounting"/>
      <w:suff w:val="nothing"/>
      <w:lvlText w:val="%1、"/>
      <w:lvlJc w:val="left"/>
      <w:rPr>
        <w:rFonts w:hint="eastAsia"/>
      </w:rPr>
    </w:lvl>
  </w:abstractNum>
  <w:abstractNum w:abstractNumId="1">
    <w:nsid w:val="70119462"/>
    <w:multiLevelType w:val="singleLevel"/>
    <w:tmpl w:val="70119462"/>
    <w:lvl w:ilvl="0" w:tentative="0">
      <w:start w:val="3"/>
      <w:numFmt w:val="chineseCounting"/>
      <w:suff w:val="nothing"/>
      <w:lvlText w:val="（%1）"/>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2QzMzAyNDRmZDY2NjVlZWVkMTM0MGRjODE4YTEifQ=="/>
  </w:docVars>
  <w:rsids>
    <w:rsidRoot w:val="2A5F168D"/>
    <w:rsid w:val="0649561E"/>
    <w:rsid w:val="17CF213D"/>
    <w:rsid w:val="2A5F168D"/>
    <w:rsid w:val="3F0F7B5A"/>
    <w:rsid w:val="5DB61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8407</Words>
  <Characters>9038</Characters>
  <Lines>0</Lines>
  <Paragraphs>0</Paragraphs>
  <TotalTime>27</TotalTime>
  <ScaleCrop>false</ScaleCrop>
  <LinksUpToDate>false</LinksUpToDate>
  <CharactersWithSpaces>10031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2023-09-12T02:28:00Z</dcterms:created>
  <dc:creator>Lenovo</dc:creator>
  <cp:lastModifiedBy>Lenovo</cp:lastModifiedBy>
  <dcterms:modified xsi:type="dcterms:W3CDTF">2023-09-13T09:35:16Z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872062F1B4FD49BD813B3A4BF6E423B5_11</vt:lpwstr>
  </property>
</Properties>
</file>