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黑体" w:hAnsi="黑体" w:eastAsia="黑体" w:cs="黑体"/>
          <w:b w:val="0"/>
          <w:bCs/>
          <w:sz w:val="28"/>
          <w:szCs w:val="28"/>
          <w:lang w:val="en-AU"/>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盘山县交通运输局(本级)</w:t>
      </w:r>
    </w:p>
    <w:p>
      <w:pPr>
        <w:spacing w:line="540" w:lineRule="exact"/>
        <w:jc w:val="center"/>
        <w:rPr>
          <w:rFonts w:hint="eastAsia" w:ascii="宋体" w:hAnsi="宋体" w:eastAsia="宋体"/>
          <w:b/>
          <w:sz w:val="52"/>
          <w:szCs w:val="52"/>
          <w:lang w:val="en-US" w:eastAsia="zh-CN"/>
        </w:rPr>
      </w:pPr>
      <w:r>
        <w:rPr>
          <w:rFonts w:hint="eastAsia" w:ascii="宋体" w:hAnsi="宋体"/>
          <w:b/>
          <w:sz w:val="52"/>
          <w:szCs w:val="52"/>
          <w:lang w:eastAsia="zh-CN"/>
        </w:rPr>
        <w:t>2022</w:t>
      </w:r>
      <w:r>
        <w:rPr>
          <w:rFonts w:hint="eastAsia" w:ascii="宋体" w:hAnsi="宋体"/>
          <w:b/>
          <w:sz w:val="52"/>
          <w:szCs w:val="52"/>
        </w:rPr>
        <w:t>年度决算</w:t>
      </w:r>
      <w:r>
        <w:rPr>
          <w:rFonts w:hint="eastAsia" w:ascii="宋体" w:hAnsi="宋体"/>
          <w:b/>
          <w:sz w:val="52"/>
          <w:szCs w:val="52"/>
          <w:lang w:eastAsia="zh-CN"/>
        </w:rPr>
        <w:t>公开说明</w:t>
      </w:r>
    </w:p>
    <w:p>
      <w:pPr>
        <w:spacing w:line="540" w:lineRule="exact"/>
        <w:jc w:val="center"/>
        <w:rPr>
          <w:rFonts w:hint="default" w:ascii="Times New Roman" w:hAnsi="Times New Roman" w:cs="Times New Roman"/>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宋体" w:hAnsi="宋体"/>
          <w:b/>
          <w:bCs w:val="0"/>
          <w:sz w:val="32"/>
          <w:szCs w:val="32"/>
          <w:lang w:val="en-US" w:eastAsia="zh-CN"/>
        </w:rPr>
        <w:t>盘山县交通运输局（</w:t>
      </w:r>
      <w:r>
        <w:rPr>
          <w:rFonts w:hint="eastAsia" w:ascii="黑体" w:hAnsi="黑体" w:eastAsia="黑体"/>
          <w:sz w:val="32"/>
          <w:szCs w:val="32"/>
          <w:lang w:eastAsia="zh-CN"/>
        </w:rPr>
        <w:t>本级</w:t>
      </w:r>
      <w:r>
        <w:rPr>
          <w:rFonts w:hint="eastAsia" w:ascii="宋体" w:hAnsi="宋体"/>
          <w:b/>
          <w:bCs w:val="0"/>
          <w:sz w:val="32"/>
          <w:szCs w:val="32"/>
          <w:lang w:val="en-US" w:eastAsia="zh-CN"/>
        </w:rPr>
        <w:t>）</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b/>
          <w:bCs/>
          <w:sz w:val="32"/>
          <w:szCs w:val="32"/>
        </w:rPr>
        <w:t xml:space="preserve">  </w:t>
      </w:r>
      <w:r>
        <w:rPr>
          <w:rFonts w:hint="eastAsia" w:ascii="宋体" w:hAnsi="宋体"/>
          <w:b/>
          <w:bCs/>
          <w:sz w:val="32"/>
          <w:szCs w:val="32"/>
          <w:lang w:val="en-US" w:eastAsia="zh-CN"/>
        </w:rPr>
        <w:t>盘山县交通运输局</w:t>
      </w:r>
      <w:r>
        <w:rPr>
          <w:rFonts w:hint="eastAsia" w:ascii="黑体" w:hAnsi="黑体" w:eastAsia="黑体"/>
          <w:sz w:val="32"/>
          <w:szCs w:val="32"/>
          <w:lang w:eastAsia="zh-CN"/>
        </w:rPr>
        <w:t>2022</w:t>
      </w:r>
      <w:r>
        <w:rPr>
          <w:rFonts w:hint="eastAsia" w:ascii="黑体" w:hAnsi="黑体" w:eastAsia="黑体"/>
          <w:sz w:val="32"/>
          <w:szCs w:val="32"/>
        </w:rPr>
        <w:t>年度</w:t>
      </w:r>
      <w:r>
        <w:rPr>
          <w:rFonts w:hint="eastAsia" w:ascii="宋体" w:hAnsi="宋体"/>
          <w:b/>
          <w:bCs w:val="0"/>
          <w:sz w:val="32"/>
          <w:szCs w:val="32"/>
          <w:lang w:val="en-US" w:eastAsia="zh-CN"/>
        </w:rPr>
        <w:t>（</w:t>
      </w:r>
      <w:r>
        <w:rPr>
          <w:rFonts w:hint="eastAsia" w:ascii="黑体" w:hAnsi="黑体" w:eastAsia="黑体"/>
          <w:sz w:val="32"/>
          <w:szCs w:val="32"/>
          <w:lang w:eastAsia="zh-CN"/>
        </w:rPr>
        <w:t>本级</w:t>
      </w:r>
      <w:r>
        <w:rPr>
          <w:rFonts w:hint="eastAsia" w:ascii="宋体" w:hAnsi="宋体"/>
          <w:b/>
          <w:bCs w:val="0"/>
          <w:sz w:val="32"/>
          <w:szCs w:val="32"/>
          <w:lang w:val="en-US" w:eastAsia="zh-CN"/>
        </w:rPr>
        <w:t>）</w:t>
      </w:r>
      <w:r>
        <w:rPr>
          <w:rFonts w:hint="eastAsia" w:ascii="黑体" w:hAnsi="黑体" w:eastAsia="黑体"/>
          <w:sz w:val="32"/>
          <w:szCs w:val="32"/>
        </w:rPr>
        <w:t>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宋体" w:hAnsi="宋体"/>
          <w:b/>
          <w:sz w:val="32"/>
          <w:szCs w:val="32"/>
          <w:lang w:val="en-US" w:eastAsia="zh-CN"/>
        </w:rPr>
        <w:t>盘山县交通运输局</w:t>
      </w:r>
      <w:r>
        <w:rPr>
          <w:rFonts w:hint="eastAsia" w:ascii="黑体" w:hAnsi="黑体" w:eastAsia="黑体"/>
          <w:sz w:val="32"/>
          <w:szCs w:val="32"/>
          <w:lang w:eastAsia="zh-CN"/>
        </w:rPr>
        <w:t>2022</w:t>
      </w:r>
      <w:r>
        <w:rPr>
          <w:rFonts w:hint="eastAsia" w:ascii="黑体" w:hAnsi="黑体" w:eastAsia="黑体"/>
          <w:sz w:val="32"/>
          <w:szCs w:val="32"/>
        </w:rPr>
        <w:t>年度</w:t>
      </w:r>
      <w:r>
        <w:rPr>
          <w:rFonts w:hint="eastAsia" w:ascii="宋体" w:hAnsi="宋体"/>
          <w:b/>
          <w:bCs w:val="0"/>
          <w:sz w:val="32"/>
          <w:szCs w:val="32"/>
          <w:lang w:val="en-US" w:eastAsia="zh-CN"/>
        </w:rPr>
        <w:t>（</w:t>
      </w:r>
      <w:r>
        <w:rPr>
          <w:rFonts w:hint="eastAsia" w:ascii="黑体" w:hAnsi="黑体" w:eastAsia="黑体"/>
          <w:sz w:val="32"/>
          <w:szCs w:val="32"/>
          <w:lang w:eastAsia="zh-CN"/>
        </w:rPr>
        <w:t>本级</w:t>
      </w:r>
      <w:r>
        <w:rPr>
          <w:rFonts w:hint="eastAsia" w:ascii="宋体" w:hAnsi="宋体"/>
          <w:b/>
          <w:bCs w:val="0"/>
          <w:sz w:val="32"/>
          <w:szCs w:val="32"/>
          <w:lang w:val="en-US" w:eastAsia="zh-CN"/>
        </w:rPr>
        <w:t>）</w:t>
      </w:r>
      <w:r>
        <w:rPr>
          <w:rFonts w:hint="eastAsia" w:ascii="黑体" w:hAnsi="黑体" w:eastAsia="黑体"/>
          <w:sz w:val="32"/>
          <w:szCs w:val="32"/>
        </w:rPr>
        <w:t>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val="en-US" w:eastAsia="zh-CN"/>
        </w:rPr>
        <w:t>盘山县交通运输局</w:t>
      </w:r>
      <w:r>
        <w:rPr>
          <w:rFonts w:hint="eastAsia" w:ascii="宋体" w:hAnsi="宋体"/>
          <w:b/>
          <w:sz w:val="36"/>
          <w:szCs w:val="36"/>
          <w:lang w:eastAsia="zh-CN"/>
        </w:rPr>
        <w:t>（本级）</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一、主要职责</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（一）基本情况。</w:t>
      </w:r>
    </w:p>
    <w:p>
      <w:pPr>
        <w:ind w:firstLine="640" w:firstLineChars="200"/>
        <w:rPr>
          <w:rFonts w:ascii="仿宋_GB2312" w:hAnsi="仿宋" w:eastAsia="仿宋_GB2312"/>
          <w:sz w:val="32"/>
          <w:szCs w:val="32"/>
        </w:rPr>
      </w:pPr>
      <w:r>
        <w:rPr>
          <w:rFonts w:hint="eastAsia" w:ascii="仿宋_GB2312" w:hAnsi="仿宋" w:eastAsia="仿宋_GB2312"/>
          <w:sz w:val="32"/>
          <w:szCs w:val="32"/>
        </w:rPr>
        <w:t>1、贯彻执行国家、省、市、县有关交通运输行业发展战略、方针政策和法律法规；编制和起草全县公路、运输市场、城镇公交等行业中长期发展规划、年度计划并组织实施。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2、负责全县公路及其配套项目建设、维护和管理工作。监督交通行业建设项目招投标、会同有关部门管理公路建设市场。负责交通工程造价管理；组织实施交通重点工程建设。负责工程质量与安全的监督工作。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3、负责道路运输管理及市场监管责任，指导全县路政、运政、交通工程质量监督等行政执法和队伍建设工作。负责全县城乡道路运输一体化场站建设的布局规划和建设管理。负责管理和调控道路运输市场，查处道路运输违规行为，规范道路运输行政执法行为，维护道路运输市场平等、有序竞争。负责汽车维修市场、汽车车辆技术的管理及汽车综合性能检测。负责机动车驾驶培训机构的行业管理，监督指导道路运输、城市公交从业培训机构及人员培训，道路危险品货物运输从业人员从业资格的行政许可和交通行业技能评审鉴定工作；组织调控全县重点物资运输和紧急客货运输。</w:t>
      </w:r>
    </w:p>
    <w:p>
      <w:pPr>
        <w:ind w:firstLine="640" w:firstLineChars="200"/>
        <w:rPr>
          <w:rFonts w:ascii="仿宋_GB2312" w:hAnsi="仿宋" w:eastAsia="仿宋_GB2312"/>
          <w:sz w:val="32"/>
          <w:szCs w:val="32"/>
        </w:rPr>
      </w:pPr>
      <w:r>
        <w:rPr>
          <w:rFonts w:hint="eastAsia" w:ascii="仿宋_GB2312" w:hAnsi="仿宋" w:eastAsia="仿宋_GB2312"/>
          <w:sz w:val="32"/>
          <w:szCs w:val="32"/>
        </w:rPr>
        <w:t>4、负责交通工程项目建设资金筹集、使用和监督管理。负责交通系统国有资产管理工作。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5、负责县域公共交通、轨道交通行业管理，开发县域公交资源，完善服务体系。</w:t>
      </w:r>
    </w:p>
    <w:p>
      <w:pPr>
        <w:ind w:firstLine="640" w:firstLineChars="200"/>
        <w:rPr>
          <w:rFonts w:ascii="仿宋_GB2312" w:hAnsi="仿宋" w:eastAsia="仿宋_GB2312"/>
          <w:sz w:val="32"/>
          <w:szCs w:val="32"/>
        </w:rPr>
      </w:pPr>
      <w:r>
        <w:rPr>
          <w:rFonts w:hint="eastAsia" w:ascii="仿宋_GB2312" w:hAnsi="仿宋" w:eastAsia="仿宋_GB2312"/>
          <w:sz w:val="32"/>
          <w:szCs w:val="32"/>
        </w:rPr>
        <w:t>6、负责交通行业统计和信息引导及发布；组织指导交通行业科技开发，推动行业技术进步；指导全县交通运输</w:t>
      </w:r>
    </w:p>
    <w:p>
      <w:pPr>
        <w:rPr>
          <w:rFonts w:ascii="仿宋_GB2312" w:hAnsi="仿宋" w:eastAsia="仿宋_GB2312"/>
          <w:sz w:val="32"/>
          <w:szCs w:val="32"/>
        </w:rPr>
      </w:pPr>
      <w:r>
        <w:rPr>
          <w:rFonts w:hint="eastAsia" w:ascii="仿宋_GB2312" w:hAnsi="仿宋" w:eastAsia="仿宋_GB2312"/>
          <w:sz w:val="32"/>
          <w:szCs w:val="32"/>
        </w:rPr>
        <w:t>行业环境保护和节能减排工作。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7、指导全县交通行业体制改革和法制建设，引导行业优化结构、协调发展。负责交通行业精神文明建设和职工队伍建设。</w:t>
      </w:r>
    </w:p>
    <w:p>
      <w:pPr>
        <w:ind w:firstLine="640" w:firstLineChars="200"/>
        <w:rPr>
          <w:rFonts w:ascii="仿宋_GB2312" w:hAnsi="仿宋" w:eastAsia="仿宋_GB2312"/>
          <w:sz w:val="32"/>
          <w:szCs w:val="32"/>
        </w:rPr>
      </w:pPr>
      <w:r>
        <w:rPr>
          <w:rFonts w:hint="eastAsia" w:ascii="仿宋_GB2312" w:hAnsi="仿宋" w:eastAsia="仿宋_GB2312"/>
          <w:sz w:val="32"/>
          <w:szCs w:val="32"/>
        </w:rPr>
        <w:t>8、负责指导和管理全县交通系统引进资金、引进技术和外资、外技工作。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9、指导全县公路、道路运输行业安全生产和应急管理工作。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10、完成县委、县政府交办的其他工作任务。</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二、</w:t>
      </w:r>
      <w:r>
        <w:rPr>
          <w:rFonts w:hint="eastAsia" w:ascii="仿宋_GB2312" w:hAnsi="仿宋" w:eastAsia="仿宋_GB2312"/>
          <w:sz w:val="32"/>
          <w:szCs w:val="32"/>
        </w:rPr>
        <w:t>机构</w:t>
      </w:r>
      <w:r>
        <w:rPr>
          <w:rFonts w:hint="eastAsia" w:ascii="仿宋_GB2312" w:hAnsi="仿宋" w:eastAsia="仿宋_GB2312"/>
          <w:sz w:val="32"/>
          <w:szCs w:val="32"/>
          <w:lang w:eastAsia="zh-CN"/>
        </w:rPr>
        <w:t>设置</w:t>
      </w:r>
      <w:r>
        <w:rPr>
          <w:rFonts w:hint="eastAsia" w:ascii="仿宋_GB2312" w:hAnsi="仿宋" w:eastAsia="仿宋_GB2312"/>
          <w:sz w:val="32"/>
          <w:szCs w:val="32"/>
        </w:rPr>
        <w:t>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根据单位职责，内设科室如下</w:t>
      </w:r>
      <w:r>
        <w:rPr>
          <w:rFonts w:hint="eastAsia" w:ascii="仿宋_GB2312" w:hAnsi="仿宋" w:eastAsia="仿宋_GB2312"/>
          <w:sz w:val="32"/>
          <w:szCs w:val="32"/>
        </w:rPr>
        <w:t>：综合办公室</w:t>
      </w:r>
      <w:r>
        <w:rPr>
          <w:rFonts w:hint="eastAsia" w:ascii="仿宋_GB2312" w:hAnsi="仿宋" w:eastAsia="仿宋_GB2312"/>
          <w:sz w:val="32"/>
          <w:szCs w:val="32"/>
          <w:lang w:eastAsia="zh-CN"/>
        </w:rPr>
        <w:t>、</w:t>
      </w:r>
      <w:r>
        <w:rPr>
          <w:rFonts w:hint="eastAsia" w:ascii="仿宋_GB2312" w:hAnsi="仿宋" w:eastAsia="仿宋_GB2312"/>
          <w:sz w:val="32"/>
          <w:szCs w:val="32"/>
        </w:rPr>
        <w:t>安全股</w:t>
      </w:r>
      <w:r>
        <w:rPr>
          <w:rFonts w:hint="eastAsia" w:ascii="仿宋_GB2312" w:hAnsi="仿宋" w:eastAsia="仿宋_GB2312"/>
          <w:sz w:val="32"/>
          <w:szCs w:val="32"/>
          <w:lang w:eastAsia="zh-CN"/>
        </w:rPr>
        <w:t>、</w:t>
      </w:r>
      <w:r>
        <w:rPr>
          <w:rFonts w:hint="eastAsia" w:ascii="仿宋_GB2312" w:hAnsi="仿宋" w:eastAsia="仿宋_GB2312"/>
          <w:sz w:val="32"/>
          <w:szCs w:val="32"/>
        </w:rPr>
        <w:t>财务股</w:t>
      </w:r>
      <w:r>
        <w:rPr>
          <w:rFonts w:hint="eastAsia" w:ascii="仿宋_GB2312" w:hAnsi="仿宋" w:eastAsia="仿宋_GB2312"/>
          <w:sz w:val="32"/>
          <w:szCs w:val="32"/>
          <w:lang w:eastAsia="zh-CN"/>
        </w:rPr>
        <w:t>、</w:t>
      </w:r>
      <w:r>
        <w:rPr>
          <w:rFonts w:hint="eastAsia" w:ascii="仿宋_GB2312" w:hAnsi="仿宋" w:eastAsia="仿宋_GB2312"/>
          <w:sz w:val="32"/>
          <w:szCs w:val="32"/>
        </w:rPr>
        <w:t>组织人事股</w:t>
      </w:r>
      <w:r>
        <w:rPr>
          <w:rFonts w:hint="eastAsia" w:ascii="仿宋_GB2312" w:hAnsi="仿宋" w:eastAsia="仿宋_GB2312"/>
          <w:sz w:val="32"/>
          <w:szCs w:val="32"/>
          <w:lang w:eastAsia="zh-CN"/>
        </w:rPr>
        <w:t>、</w:t>
      </w:r>
      <w:r>
        <w:rPr>
          <w:rFonts w:hint="eastAsia" w:ascii="仿宋_GB2312" w:hAnsi="仿宋" w:eastAsia="仿宋_GB2312"/>
          <w:sz w:val="32"/>
          <w:szCs w:val="32"/>
        </w:rPr>
        <w:t>规划建设股</w:t>
      </w:r>
      <w:r>
        <w:rPr>
          <w:rFonts w:hint="eastAsia" w:ascii="仿宋_GB2312" w:hAnsi="仿宋" w:eastAsia="仿宋_GB2312"/>
          <w:sz w:val="32"/>
          <w:szCs w:val="32"/>
          <w:lang w:eastAsia="zh-CN"/>
        </w:rPr>
        <w:t>、</w:t>
      </w:r>
      <w:r>
        <w:rPr>
          <w:rFonts w:hint="eastAsia" w:ascii="仿宋_GB2312" w:hAnsi="仿宋" w:eastAsia="仿宋_GB2312"/>
          <w:sz w:val="32"/>
          <w:szCs w:val="32"/>
        </w:rPr>
        <w:t>运政审批股</w:t>
      </w:r>
      <w:r>
        <w:rPr>
          <w:rFonts w:hint="eastAsia" w:ascii="仿宋_GB2312" w:hAnsi="仿宋" w:eastAsia="仿宋_GB2312"/>
          <w:sz w:val="32"/>
          <w:szCs w:val="32"/>
          <w:lang w:eastAsia="zh-CN"/>
        </w:rPr>
        <w:t>、</w:t>
      </w:r>
      <w:r>
        <w:rPr>
          <w:rFonts w:hint="eastAsia" w:ascii="仿宋_GB2312" w:hAnsi="仿宋" w:eastAsia="仿宋_GB2312"/>
          <w:sz w:val="32"/>
          <w:szCs w:val="32"/>
        </w:rPr>
        <w:t>执法监督中队</w:t>
      </w:r>
      <w:r>
        <w:rPr>
          <w:rFonts w:hint="eastAsia" w:ascii="仿宋_GB2312" w:hAnsi="仿宋" w:eastAsia="仿宋_GB2312"/>
          <w:sz w:val="32"/>
          <w:szCs w:val="32"/>
          <w:lang w:eastAsia="zh-CN"/>
        </w:rPr>
        <w:t>、</w:t>
      </w:r>
      <w:r>
        <w:rPr>
          <w:rFonts w:hint="eastAsia" w:ascii="仿宋_GB2312" w:hAnsi="仿宋" w:eastAsia="仿宋_GB2312"/>
          <w:sz w:val="32"/>
          <w:szCs w:val="32"/>
        </w:rPr>
        <w:t>质监中队</w:t>
      </w:r>
      <w:r>
        <w:rPr>
          <w:rFonts w:hint="eastAsia" w:ascii="仿宋_GB2312" w:hAnsi="仿宋" w:eastAsia="仿宋_GB2312"/>
          <w:sz w:val="32"/>
          <w:szCs w:val="32"/>
          <w:lang w:eastAsia="zh-CN"/>
        </w:rPr>
        <w:t>、</w:t>
      </w:r>
      <w:r>
        <w:rPr>
          <w:rFonts w:hint="eastAsia" w:ascii="仿宋_GB2312" w:hAnsi="仿宋" w:eastAsia="仿宋_GB2312"/>
          <w:sz w:val="32"/>
          <w:szCs w:val="32"/>
        </w:rPr>
        <w:t>维修中队</w:t>
      </w:r>
      <w:r>
        <w:rPr>
          <w:rFonts w:hint="eastAsia" w:ascii="仿宋_GB2312" w:hAnsi="仿宋" w:eastAsia="仿宋_GB2312"/>
          <w:sz w:val="32"/>
          <w:szCs w:val="32"/>
          <w:lang w:eastAsia="zh-CN"/>
        </w:rPr>
        <w:t>、</w:t>
      </w:r>
      <w:r>
        <w:rPr>
          <w:rFonts w:hint="eastAsia" w:ascii="仿宋_GB2312" w:hAnsi="仿宋" w:eastAsia="仿宋_GB2312"/>
          <w:sz w:val="32"/>
          <w:szCs w:val="32"/>
        </w:rPr>
        <w:t>驾培中队</w:t>
      </w:r>
      <w:r>
        <w:rPr>
          <w:rFonts w:hint="eastAsia" w:ascii="仿宋_GB2312" w:hAnsi="仿宋" w:eastAsia="仿宋_GB2312"/>
          <w:sz w:val="32"/>
          <w:szCs w:val="32"/>
          <w:lang w:eastAsia="zh-CN"/>
        </w:rPr>
        <w:t>、</w:t>
      </w:r>
      <w:r>
        <w:rPr>
          <w:rFonts w:hint="eastAsia" w:ascii="仿宋_GB2312" w:hAnsi="仿宋" w:eastAsia="仿宋_GB2312"/>
          <w:sz w:val="32"/>
          <w:szCs w:val="32"/>
        </w:rPr>
        <w:t>路政治超中队</w:t>
      </w:r>
      <w:r>
        <w:rPr>
          <w:rFonts w:hint="eastAsia" w:ascii="仿宋_GB2312" w:hAnsi="仿宋" w:eastAsia="仿宋_GB2312"/>
          <w:sz w:val="32"/>
          <w:szCs w:val="32"/>
          <w:lang w:eastAsia="zh-CN"/>
        </w:rPr>
        <w:t>、</w:t>
      </w:r>
      <w:r>
        <w:rPr>
          <w:rFonts w:hint="eastAsia" w:ascii="仿宋_GB2312" w:hAnsi="仿宋" w:eastAsia="仿宋_GB2312"/>
          <w:sz w:val="32"/>
          <w:szCs w:val="32"/>
        </w:rPr>
        <w:t>运输中队</w:t>
      </w:r>
      <w:r>
        <w:rPr>
          <w:rFonts w:hint="eastAsia" w:ascii="仿宋_GB2312" w:hAnsi="仿宋" w:eastAsia="仿宋_GB2312"/>
          <w:sz w:val="32"/>
          <w:szCs w:val="32"/>
          <w:lang w:eastAsia="zh-CN"/>
        </w:rPr>
        <w:t>、</w:t>
      </w:r>
      <w:r>
        <w:rPr>
          <w:rFonts w:hint="eastAsia" w:ascii="仿宋_GB2312" w:hAnsi="仿宋" w:eastAsia="仿宋_GB2312"/>
          <w:sz w:val="32"/>
          <w:szCs w:val="32"/>
        </w:rPr>
        <w:t>客运中队</w:t>
      </w:r>
      <w:r>
        <w:rPr>
          <w:rFonts w:hint="eastAsia" w:ascii="仿宋_GB2312" w:hAnsi="仿宋" w:eastAsia="仿宋_GB2312"/>
          <w:sz w:val="32"/>
          <w:szCs w:val="32"/>
          <w:lang w:eastAsia="zh-CN"/>
        </w:rPr>
        <w:t>、</w:t>
      </w:r>
      <w:r>
        <w:rPr>
          <w:rFonts w:hint="eastAsia" w:ascii="仿宋_GB2312" w:hAnsi="仿宋" w:eastAsia="仿宋_GB2312"/>
          <w:sz w:val="32"/>
          <w:szCs w:val="32"/>
        </w:rPr>
        <w:t>太平执法站</w:t>
      </w:r>
      <w:r>
        <w:rPr>
          <w:rFonts w:hint="eastAsia" w:ascii="仿宋_GB2312" w:hAnsi="仿宋" w:eastAsia="仿宋_GB2312"/>
          <w:sz w:val="32"/>
          <w:szCs w:val="32"/>
          <w:lang w:eastAsia="zh-CN"/>
        </w:rPr>
        <w:t>、</w:t>
      </w:r>
      <w:r>
        <w:rPr>
          <w:rFonts w:hint="eastAsia" w:ascii="仿宋_GB2312" w:hAnsi="仿宋" w:eastAsia="仿宋_GB2312"/>
          <w:sz w:val="32"/>
          <w:szCs w:val="32"/>
        </w:rPr>
        <w:t>胡家执法站</w:t>
      </w:r>
      <w:r>
        <w:rPr>
          <w:rFonts w:hint="eastAsia" w:ascii="仿宋_GB2312" w:hAnsi="仿宋" w:eastAsia="仿宋_GB2312"/>
          <w:sz w:val="32"/>
          <w:szCs w:val="32"/>
          <w:lang w:eastAsia="zh-CN"/>
        </w:rPr>
        <w:t>、</w:t>
      </w:r>
      <w:r>
        <w:rPr>
          <w:rFonts w:hint="eastAsia" w:ascii="仿宋_GB2312" w:hAnsi="仿宋" w:eastAsia="仿宋_GB2312"/>
          <w:sz w:val="32"/>
          <w:szCs w:val="32"/>
        </w:rPr>
        <w:t>坝墙子执法站</w:t>
      </w:r>
      <w:r>
        <w:rPr>
          <w:rFonts w:hint="eastAsia" w:ascii="仿宋_GB2312" w:hAnsi="仿宋" w:eastAsia="仿宋_GB2312"/>
          <w:sz w:val="32"/>
          <w:szCs w:val="32"/>
          <w:lang w:eastAsia="zh-CN"/>
        </w:rPr>
        <w:t>、</w:t>
      </w:r>
      <w:r>
        <w:rPr>
          <w:rFonts w:hint="eastAsia" w:ascii="仿宋_GB2312" w:hAnsi="仿宋" w:eastAsia="仿宋_GB2312"/>
          <w:sz w:val="32"/>
          <w:szCs w:val="32"/>
        </w:rPr>
        <w:t>吴家执法站</w:t>
      </w:r>
      <w:r>
        <w:rPr>
          <w:rFonts w:hint="eastAsia" w:ascii="仿宋_GB2312" w:hAnsi="仿宋" w:eastAsia="仿宋_GB2312"/>
          <w:sz w:val="32"/>
          <w:szCs w:val="32"/>
          <w:lang w:eastAsia="zh-CN"/>
        </w:rPr>
        <w:t>、</w:t>
      </w:r>
      <w:r>
        <w:rPr>
          <w:rFonts w:hint="eastAsia" w:ascii="仿宋_GB2312" w:hAnsi="仿宋" w:eastAsia="仿宋_GB2312"/>
          <w:sz w:val="32"/>
          <w:szCs w:val="32"/>
        </w:rPr>
        <w:t>得胜执法站</w:t>
      </w:r>
      <w:r>
        <w:rPr>
          <w:rFonts w:hint="eastAsia" w:ascii="仿宋_GB2312" w:hAnsi="仿宋" w:eastAsia="仿宋_GB2312"/>
          <w:sz w:val="32"/>
          <w:szCs w:val="32"/>
          <w:lang w:eastAsia="zh-CN"/>
        </w:rPr>
        <w:t>、</w:t>
      </w:r>
      <w:r>
        <w:rPr>
          <w:rFonts w:hint="eastAsia" w:ascii="仿宋_GB2312" w:hAnsi="仿宋" w:eastAsia="仿宋_GB2312"/>
          <w:sz w:val="32"/>
          <w:szCs w:val="32"/>
        </w:rPr>
        <w:t>东郭执法站</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下属单位设置如下：</w:t>
      </w:r>
      <w:r>
        <w:rPr>
          <w:rFonts w:hint="eastAsia" w:ascii="仿宋_GB2312" w:eastAsia="仿宋_GB2312"/>
          <w:sz w:val="32"/>
          <w:szCs w:val="32"/>
          <w:lang w:eastAsia="zh-CN"/>
        </w:rPr>
        <w:t>盘山县交通运输事业发展中心</w:t>
      </w:r>
    </w:p>
    <w:p>
      <w:pPr>
        <w:snapToGrid w:val="0"/>
        <w:spacing w:line="52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二、决算单位构成</w:t>
      </w:r>
    </w:p>
    <w:p>
      <w:pPr>
        <w:spacing w:line="54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纳入</w:t>
      </w:r>
      <w:r>
        <w:rPr>
          <w:rFonts w:hint="eastAsia" w:ascii="仿宋_GB2312" w:hAnsi="仿宋" w:eastAsia="仿宋_GB2312"/>
          <w:sz w:val="32"/>
          <w:szCs w:val="32"/>
          <w:lang w:eastAsia="zh-CN"/>
        </w:rPr>
        <w:t>盘山县交通运输局(本级)2022</w:t>
      </w:r>
      <w:r>
        <w:rPr>
          <w:rFonts w:hint="eastAsia" w:ascii="仿宋_GB2312" w:hAnsi="仿宋" w:eastAsia="仿宋_GB2312"/>
          <w:sz w:val="32"/>
          <w:szCs w:val="32"/>
        </w:rPr>
        <w:t>年</w:t>
      </w:r>
      <w:r>
        <w:rPr>
          <w:rFonts w:hint="eastAsia" w:ascii="仿宋_GB2312" w:hAnsi="仿宋" w:eastAsia="仿宋_GB2312"/>
          <w:sz w:val="32"/>
          <w:szCs w:val="32"/>
          <w:lang w:eastAsia="zh-CN"/>
        </w:rPr>
        <w:t>单位</w:t>
      </w:r>
      <w:r>
        <w:rPr>
          <w:rFonts w:hint="eastAsia" w:ascii="仿宋_GB2312" w:hAnsi="仿宋" w:eastAsia="仿宋_GB2312"/>
          <w:sz w:val="32"/>
          <w:szCs w:val="32"/>
        </w:rPr>
        <w:t>决算编制范围</w:t>
      </w:r>
      <w:r>
        <w:rPr>
          <w:rFonts w:hint="eastAsia" w:ascii="仿宋_GB2312" w:hAnsi="仿宋" w:eastAsia="仿宋_GB2312"/>
          <w:sz w:val="32"/>
          <w:szCs w:val="32"/>
          <w:lang w:eastAsia="zh-CN"/>
        </w:rPr>
        <w:t>盘山县交通运输局(本级)一户。</w:t>
      </w:r>
    </w:p>
    <w:p>
      <w:pPr>
        <w:spacing w:line="540" w:lineRule="exact"/>
        <w:ind w:firstLine="723" w:firstLineChars="200"/>
        <w:jc w:val="center"/>
        <w:rPr>
          <w:rFonts w:hint="eastAsia" w:ascii="宋体" w:hAnsi="宋体"/>
          <w:b/>
          <w:sz w:val="36"/>
          <w:szCs w:val="36"/>
        </w:rPr>
      </w:pP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2"/>
          <w:szCs w:val="32"/>
          <w:lang w:val="en-US" w:eastAsia="zh-CN"/>
        </w:rPr>
        <w:t>盘山县交通运输局（本级）</w:t>
      </w:r>
      <w:r>
        <w:rPr>
          <w:rFonts w:hint="eastAsia" w:ascii="宋体" w:hAnsi="宋体"/>
          <w:b/>
          <w:sz w:val="36"/>
          <w:szCs w:val="36"/>
          <w:lang w:eastAsia="zh-CN"/>
        </w:rPr>
        <w:t>2022</w:t>
      </w:r>
      <w:r>
        <w:rPr>
          <w:rFonts w:hint="eastAsia" w:ascii="宋体" w:hAnsi="宋体"/>
          <w:b/>
          <w:sz w:val="36"/>
          <w:szCs w:val="36"/>
        </w:rPr>
        <w:t>年度决算情况说明</w:t>
      </w:r>
    </w:p>
    <w:p>
      <w:pPr>
        <w:spacing w:line="540" w:lineRule="exact"/>
        <w:rPr>
          <w:rFonts w:hint="eastAsia" w:ascii="宋体" w:hAnsi="宋体"/>
          <w:b/>
          <w:sz w:val="36"/>
          <w:szCs w:val="36"/>
        </w:rPr>
      </w:pPr>
    </w:p>
    <w:p>
      <w:pPr>
        <w:spacing w:line="540" w:lineRule="exact"/>
        <w:ind w:firstLine="660"/>
        <w:rPr>
          <w:rFonts w:hint="eastAsia" w:ascii="仿宋_GB2312" w:hAnsi="宋体" w:eastAsia="仿宋_GB2312"/>
          <w:b/>
          <w:bCs/>
          <w:sz w:val="32"/>
          <w:szCs w:val="32"/>
          <w:lang w:eastAsia="zh-CN"/>
        </w:rPr>
      </w:pPr>
      <w:r>
        <w:rPr>
          <w:rFonts w:hint="eastAsia" w:ascii="仿宋_GB2312" w:hAnsi="宋体" w:eastAsia="仿宋_GB2312"/>
          <w:b/>
          <w:bCs/>
          <w:sz w:val="32"/>
          <w:szCs w:val="32"/>
        </w:rPr>
        <w:t>一、收入支出决算总体情况</w:t>
      </w:r>
      <w:r>
        <w:rPr>
          <w:rFonts w:hint="eastAsia" w:ascii="仿宋_GB2312" w:hAnsi="宋体" w:eastAsia="仿宋_GB2312"/>
          <w:b/>
          <w:bCs/>
          <w:sz w:val="32"/>
          <w:szCs w:val="32"/>
          <w:lang w:eastAsia="zh-CN"/>
        </w:rPr>
        <w:t>说明</w:t>
      </w:r>
    </w:p>
    <w:p>
      <w:pPr>
        <w:spacing w:line="540" w:lineRule="exact"/>
        <w:ind w:firstLine="660"/>
        <w:rPr>
          <w:rFonts w:hint="eastAsia" w:ascii="楷体_GB2312" w:hAnsi="宋体" w:eastAsia="楷体_GB2312"/>
          <w:b/>
          <w:color w:val="auto"/>
          <w:sz w:val="32"/>
          <w:szCs w:val="32"/>
        </w:rPr>
      </w:pPr>
      <w:r>
        <w:rPr>
          <w:rFonts w:hint="eastAsia" w:ascii="仿宋_GB2312" w:hAnsi="宋体" w:eastAsia="仿宋_GB2312" w:cs="Times New Roman"/>
          <w:color w:val="auto"/>
          <w:sz w:val="32"/>
          <w:szCs w:val="32"/>
          <w:lang w:val="en-US" w:eastAsia="zh-CN"/>
        </w:rPr>
        <w:t>2022年财政拨款收入4172.80万元，2022年年初结转结余1181.65万元，其他收入20.76万元。2022年支出5341.24万元，其中交通运输支出5019.38万元；社会保障和就业支出269.91万元；卫生健康支出42.99万元；住房改革支出8.95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5375.21</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4172.80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77.63</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4172.80</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20.76</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0.39</w:t>
      </w:r>
      <w:r>
        <w:rPr>
          <w:rFonts w:hint="eastAsia" w:ascii="仿宋_GB2312" w:hAnsi="宋体" w:eastAsia="仿宋_GB2312"/>
          <w:sz w:val="32"/>
          <w:szCs w:val="32"/>
        </w:rPr>
        <w:t>%。主要是京哈高速项目资金</w:t>
      </w:r>
      <w:r>
        <w:rPr>
          <w:rFonts w:hint="eastAsia" w:ascii="仿宋_GB2312" w:hAnsi="宋体" w:eastAsia="仿宋_GB2312"/>
          <w:sz w:val="32"/>
          <w:szCs w:val="32"/>
          <w:lang w:val="en-US" w:eastAsia="zh-CN"/>
        </w:rPr>
        <w:t>和银行利息</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1181.65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21.98</w:t>
      </w:r>
      <w:r>
        <w:rPr>
          <w:rFonts w:hint="eastAsia" w:ascii="仿宋_GB2312" w:hAnsi="宋体" w:eastAsia="仿宋_GB2312"/>
          <w:sz w:val="32"/>
          <w:szCs w:val="32"/>
        </w:rPr>
        <w:t>%。主要是2019年车辆购置税企业工程款</w:t>
      </w:r>
      <w:r>
        <w:rPr>
          <w:rFonts w:hint="eastAsia" w:ascii="仿宋_GB2312" w:hAnsi="宋体" w:eastAsia="仿宋_GB2312"/>
          <w:sz w:val="32"/>
          <w:szCs w:val="32"/>
          <w:lang w:eastAsia="zh-CN"/>
        </w:rPr>
        <w:t>、2019年工程项目竣工支付工程款、2019年车辆购置税</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574.59</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12.05</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其他收入减少</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项目减少</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5341.24</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506.14</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9.48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347.07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124.21</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34.82</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0.04</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4835.10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90.52</w:t>
      </w:r>
      <w:r>
        <w:rPr>
          <w:rFonts w:hint="eastAsia" w:ascii="仿宋_GB2312" w:hAnsi="宋体" w:eastAsia="仿宋_GB2312"/>
          <w:sz w:val="32"/>
          <w:szCs w:val="32"/>
        </w:rPr>
        <w:t>%。主要包括2022年成品油税费改革转移支付资金</w:t>
      </w:r>
      <w:r>
        <w:rPr>
          <w:rFonts w:hint="eastAsia" w:ascii="仿宋_GB2312" w:hAnsi="宋体" w:eastAsia="仿宋_GB2312"/>
          <w:sz w:val="32"/>
          <w:szCs w:val="32"/>
          <w:lang w:eastAsia="zh-CN"/>
        </w:rPr>
        <w:t>、2019年工程项目竣工项目工程款、收购星辰客运班线车款、清理拖欠账款、2019年车辆购置税</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108.53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2.07</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机构改革人员增加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33.97</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主要是京哈高速项目资金</w:t>
      </w:r>
      <w:r>
        <w:rPr>
          <w:rFonts w:hint="eastAsia" w:ascii="仿宋_GB2312" w:hAnsi="宋体" w:eastAsia="仿宋_GB2312"/>
          <w:sz w:val="32"/>
          <w:szCs w:val="32"/>
          <w:lang w:eastAsia="zh-CN"/>
        </w:rPr>
        <w:t>、盘山县全域公交一体化项目</w:t>
      </w:r>
      <w:r>
        <w:rPr>
          <w:rFonts w:hint="eastAsia" w:ascii="仿宋_GB2312" w:hAnsi="宋体" w:eastAsia="仿宋_GB2312"/>
          <w:sz w:val="32"/>
          <w:szCs w:val="32"/>
          <w:lang w:val="en-US" w:eastAsia="zh-CN"/>
        </w:rPr>
        <w:t>未支付完成</w:t>
      </w:r>
      <w:r>
        <w:rPr>
          <w:rFonts w:hint="eastAsia" w:ascii="仿宋_GB2312" w:hAnsi="宋体" w:eastAsia="仿宋_GB2312"/>
          <w:sz w:val="32"/>
          <w:szCs w:val="32"/>
        </w:rPr>
        <w:t>等原因形成的结</w:t>
      </w:r>
      <w:r>
        <w:rPr>
          <w:rFonts w:hint="eastAsia" w:ascii="仿宋_GB2312" w:hAnsi="宋体" w:eastAsia="仿宋_GB2312"/>
          <w:sz w:val="32"/>
          <w:szCs w:val="32"/>
          <w:lang w:val="en-US" w:eastAsia="zh-CN"/>
        </w:rPr>
        <w:t>转</w:t>
      </w:r>
      <w:r>
        <w:rPr>
          <w:rFonts w:hint="eastAsia" w:ascii="仿宋_GB2312" w:hAnsi="宋体" w:eastAsia="仿宋_GB2312"/>
          <w:sz w:val="32"/>
          <w:szCs w:val="32"/>
        </w:rPr>
        <w:t>。与上年相比，今年结转结余减少</w:t>
      </w:r>
      <w:r>
        <w:rPr>
          <w:rFonts w:hint="eastAsia" w:ascii="仿宋_GB2312" w:hAnsi="宋体" w:eastAsia="仿宋_GB2312"/>
          <w:sz w:val="32"/>
          <w:szCs w:val="32"/>
          <w:lang w:val="en-US" w:eastAsia="zh-CN"/>
        </w:rPr>
        <w:t>114.46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77.11</w:t>
      </w:r>
      <w:r>
        <w:rPr>
          <w:rFonts w:hint="eastAsia" w:ascii="仿宋_GB2312" w:hAnsi="宋体" w:eastAsia="仿宋_GB2312"/>
          <w:sz w:val="32"/>
          <w:szCs w:val="32"/>
        </w:rPr>
        <w:t>%，主要原因：上缴市局结余款项。</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5325.73</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505.88</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4819.85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420.95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8.58</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机构改革人员增加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461.18</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342.25</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478.64</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5325.73</w:t>
      </w:r>
      <w:r>
        <w:rPr>
          <w:rFonts w:hint="eastAsia" w:ascii="仿宋_GB2312" w:hAnsi="宋体" w:eastAsia="仿宋_GB2312"/>
          <w:sz w:val="32"/>
          <w:szCs w:val="32"/>
        </w:rPr>
        <w:t>万元，按支出功能分类科目分，包括：社会保障和就业支出</w:t>
      </w:r>
      <w:r>
        <w:rPr>
          <w:rFonts w:hint="eastAsia" w:ascii="仿宋_GB2312" w:hAnsi="宋体" w:eastAsia="仿宋_GB2312"/>
          <w:sz w:val="32"/>
          <w:szCs w:val="32"/>
          <w:lang w:val="en-US" w:eastAsia="zh-CN"/>
        </w:rPr>
        <w:t>269.90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5.07</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42.99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0.81</w:t>
      </w:r>
      <w:r>
        <w:rPr>
          <w:rFonts w:ascii="仿宋_GB2312" w:hAnsi="宋体" w:eastAsia="仿宋_GB2312"/>
          <w:sz w:val="32"/>
          <w:szCs w:val="32"/>
        </w:rPr>
        <w:t>%</w:t>
      </w:r>
      <w:r>
        <w:rPr>
          <w:rFonts w:hint="eastAsia" w:ascii="仿宋_GB2312" w:hAnsi="宋体" w:eastAsia="仿宋_GB2312"/>
          <w:sz w:val="32"/>
          <w:szCs w:val="32"/>
        </w:rPr>
        <w:t>；交通运输支出</w:t>
      </w:r>
      <w:r>
        <w:rPr>
          <w:rFonts w:hint="eastAsia" w:ascii="仿宋_GB2312" w:hAnsi="宋体" w:eastAsia="仿宋_GB2312"/>
          <w:sz w:val="32"/>
          <w:szCs w:val="32"/>
          <w:lang w:val="en-US" w:eastAsia="zh-CN"/>
        </w:rPr>
        <w:t>5003.87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93.96</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8.95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0.17</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1.社会保障和就业支出</w:t>
      </w:r>
      <w:r>
        <w:rPr>
          <w:rFonts w:hint="eastAsia" w:ascii="仿宋_GB2312" w:hAnsi="宋体" w:eastAsia="仿宋_GB2312"/>
          <w:sz w:val="32"/>
          <w:szCs w:val="32"/>
          <w:lang w:val="en-US" w:eastAsia="zh-CN"/>
        </w:rPr>
        <w:t>269.90</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类）行政事业单位养老支出（款）行政单位离退休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项）60.69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1028.64</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项）90.23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802.76</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类）行政事业单位养老支出（款）机关事业单位职业年金缴费支出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项）51.10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类）抚恤（款）死亡抚恤</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项）63.51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类）其他社会保障和就业支出（款）其他社会保障和就业支出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项）4.37</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工伤、失业保险金缴费支出</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42.99</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类）行政事业单位医疗（款）行政单位医疗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项）42.99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847.93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交通运输支出</w:t>
      </w:r>
      <w:r>
        <w:rPr>
          <w:rFonts w:hint="eastAsia" w:ascii="仿宋_GB2312" w:hAnsi="宋体" w:eastAsia="仿宋_GB2312"/>
          <w:sz w:val="32"/>
          <w:szCs w:val="32"/>
          <w:lang w:val="en-US" w:eastAsia="zh-CN"/>
        </w:rPr>
        <w:t>5003.87</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交通运输支出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类）公路水路运输（款）行政运行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项）184.02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161.42</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交通运输支出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类）公路水路运输（款）一般行政管理事务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项）59.75</w:t>
      </w:r>
      <w:r>
        <w:rPr>
          <w:rFonts w:hint="eastAsia" w:ascii="仿宋_GB2312" w:hAnsi="宋体" w:eastAsia="仿宋_GB2312"/>
          <w:sz w:val="32"/>
          <w:szCs w:val="32"/>
        </w:rPr>
        <w:t>万元，主要是业务活动经费</w:t>
      </w:r>
      <w:r>
        <w:rPr>
          <w:rFonts w:hint="eastAsia" w:ascii="仿宋_GB2312" w:hAnsi="宋体" w:eastAsia="仿宋_GB2312"/>
          <w:sz w:val="32"/>
          <w:szCs w:val="32"/>
          <w:lang w:eastAsia="zh-CN"/>
        </w:rPr>
        <w:t>、客运站划转人员工资</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39.15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项目减少</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交通运输支出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类）公路水路运输（款）其他公路水路运输支出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项）4560.10</w:t>
      </w:r>
      <w:r>
        <w:rPr>
          <w:rFonts w:hint="eastAsia" w:ascii="仿宋_GB2312" w:hAnsi="宋体" w:eastAsia="仿宋_GB2312"/>
          <w:sz w:val="32"/>
          <w:szCs w:val="32"/>
        </w:rPr>
        <w:t>万元，主要是2022年成品油税费改革转移支付资金</w:t>
      </w:r>
      <w:r>
        <w:rPr>
          <w:rFonts w:hint="eastAsia" w:ascii="仿宋_GB2312" w:hAnsi="宋体" w:eastAsia="仿宋_GB2312"/>
          <w:sz w:val="32"/>
          <w:szCs w:val="32"/>
          <w:lang w:eastAsia="zh-CN"/>
        </w:rPr>
        <w:t>、2019年工程项目竣工项目工程款、2019年车辆购置税企业工程款</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交通运输支出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类）车辆购置税支出（款）车辆购置税用于公路等基础设施建设支出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项）200.00</w:t>
      </w:r>
      <w:r>
        <w:rPr>
          <w:rFonts w:hint="eastAsia" w:ascii="仿宋_GB2312" w:hAnsi="宋体" w:eastAsia="仿宋_GB2312"/>
          <w:sz w:val="32"/>
          <w:szCs w:val="32"/>
        </w:rPr>
        <w:t>万元，主要是车辆购置税用于公路等基础设施建设支出等支出，年初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8.95</w:t>
      </w:r>
      <w:r>
        <w:rPr>
          <w:rFonts w:hint="eastAsia" w:ascii="仿宋_GB2312" w:hAnsi="宋体" w:eastAsia="仿宋_GB2312"/>
          <w:sz w:val="32"/>
          <w:szCs w:val="32"/>
        </w:rPr>
        <w:t>万元，具体包括：</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项）8.95</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77.16</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2022年度无政府性基金预算财政拨款支出，无此类资金收支。</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2022年度无</w:t>
      </w:r>
      <w:r>
        <w:rPr>
          <w:rFonts w:hint="eastAsia" w:ascii="仿宋_GB2312" w:hAnsi="宋体" w:eastAsia="仿宋_GB2312"/>
          <w:sz w:val="32"/>
          <w:szCs w:val="32"/>
        </w:rPr>
        <w:t>国有资本经营预算财政拨款支出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无此类资金收支。</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41.13</w:t>
      </w:r>
      <w:r>
        <w:rPr>
          <w:rFonts w:hint="eastAsia" w:ascii="仿宋_GB2312" w:hAnsi="宋体" w:eastAsia="仿宋_GB2312"/>
          <w:sz w:val="32"/>
          <w:szCs w:val="32"/>
        </w:rPr>
        <w:t>万元，完成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w:t>
      </w:r>
      <w:r>
        <w:rPr>
          <w:rFonts w:hint="eastAsia" w:ascii="仿宋_GB2312" w:hAnsi="宋体" w:eastAsia="仿宋_GB2312"/>
          <w:sz w:val="32"/>
          <w:szCs w:val="32"/>
          <w:lang w:eastAsia="zh-CN"/>
        </w:rPr>
        <w:t>全年</w:t>
      </w:r>
      <w:r>
        <w:rPr>
          <w:rFonts w:hint="eastAsia" w:ascii="仿宋_GB2312" w:hAnsi="宋体" w:eastAsia="仿宋_GB2312"/>
          <w:sz w:val="32"/>
          <w:szCs w:val="32"/>
        </w:rPr>
        <w:t>预算数。其中：因公出国（境）费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41.13</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41.13</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的100%。</w:t>
      </w:r>
      <w:r>
        <w:rPr>
          <w:rFonts w:hint="eastAsia" w:ascii="仿宋_GB2312" w:hAnsi="宋体" w:eastAsia="仿宋_GB2312"/>
          <w:sz w:val="32"/>
          <w:szCs w:val="32"/>
        </w:rPr>
        <w:t>完成</w:t>
      </w:r>
      <w:r>
        <w:rPr>
          <w:rFonts w:hint="eastAsia" w:ascii="仿宋_GB2312" w:hAnsi="宋体" w:eastAsia="仿宋_GB2312"/>
          <w:sz w:val="32"/>
          <w:szCs w:val="32"/>
          <w:lang w:eastAsia="zh-CN"/>
        </w:rPr>
        <w:t>全年预算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w:t>
      </w:r>
      <w:r>
        <w:rPr>
          <w:rFonts w:hint="eastAsia" w:ascii="仿宋_GB2312" w:hAnsi="宋体" w:eastAsia="仿宋_GB2312"/>
          <w:sz w:val="32"/>
          <w:szCs w:val="32"/>
          <w:lang w:eastAsia="zh-CN"/>
        </w:rPr>
        <w:t>全年预算数</w:t>
      </w:r>
      <w:r>
        <w:rPr>
          <w:rFonts w:hint="eastAsia" w:ascii="仿宋_GB2312" w:hAnsi="宋体" w:eastAsia="仿宋_GB2312"/>
          <w:sz w:val="32"/>
          <w:szCs w:val="32"/>
        </w:rPr>
        <w:t>。比上年增加</w:t>
      </w:r>
      <w:r>
        <w:rPr>
          <w:rFonts w:hint="eastAsia" w:ascii="仿宋_GB2312" w:hAnsi="宋体" w:eastAsia="仿宋_GB2312"/>
          <w:sz w:val="32"/>
          <w:szCs w:val="32"/>
          <w:lang w:val="en-US" w:eastAsia="zh-CN"/>
        </w:rPr>
        <w:t>3.20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8.43</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业务增加</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41.13</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公务车辆加油维修</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15</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505.88</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471.28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34.60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2022年机关运行经费支出</w:t>
      </w:r>
      <w:r>
        <w:rPr>
          <w:rFonts w:hint="eastAsia" w:ascii="仿宋_GB2312" w:hAnsi="黑体" w:eastAsia="仿宋_GB2312"/>
          <w:sz w:val="32"/>
          <w:szCs w:val="32"/>
          <w:lang w:val="en-US" w:eastAsia="zh-CN"/>
        </w:rPr>
        <w:t>34.60</w:t>
      </w:r>
      <w:r>
        <w:rPr>
          <w:rFonts w:hint="eastAsia" w:ascii="仿宋_GB2312" w:hAnsi="黑体" w:eastAsia="仿宋_GB2312"/>
          <w:sz w:val="32"/>
          <w:szCs w:val="32"/>
          <w:lang w:eastAsia="zh-CN"/>
        </w:rPr>
        <w:t>万元，</w:t>
      </w:r>
      <w:r>
        <w:rPr>
          <w:rFonts w:hint="eastAsia" w:ascii="仿宋_GB2312" w:hAnsi="黑体" w:eastAsia="仿宋_GB2312"/>
          <w:sz w:val="32"/>
          <w:szCs w:val="32"/>
        </w:rPr>
        <w:t>比上年减少</w:t>
      </w:r>
      <w:r>
        <w:rPr>
          <w:rFonts w:hint="eastAsia" w:ascii="仿宋_GB2312" w:hAnsi="黑体" w:eastAsia="仿宋_GB2312"/>
          <w:sz w:val="32"/>
          <w:szCs w:val="32"/>
          <w:lang w:val="en-US" w:eastAsia="zh-CN"/>
        </w:rPr>
        <w:t>34.83</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50.17</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严格控制日常公用经费支出</w:t>
      </w:r>
      <w:r>
        <w:rPr>
          <w:rFonts w:hint="eastAsia" w:ascii="仿宋_GB2312" w:hAnsi="黑体" w:eastAsia="仿宋_GB2312"/>
          <w:sz w:val="32"/>
          <w:szCs w:val="32"/>
        </w:rPr>
        <w:t>。</w:t>
      </w:r>
      <w:r>
        <w:rPr>
          <w:rFonts w:hint="eastAsia" w:ascii="仿宋_GB2312" w:hAnsi="黑体" w:eastAsia="仿宋_GB2312"/>
          <w:sz w:val="32"/>
          <w:szCs w:val="32"/>
          <w:lang w:eastAsia="zh-CN"/>
        </w:rPr>
        <w:t>主要包括：</w:t>
      </w:r>
      <w:r>
        <w:rPr>
          <w:rFonts w:hint="eastAsia" w:ascii="仿宋_GB2312" w:hAnsi="黑体" w:eastAsia="仿宋_GB2312"/>
          <w:color w:val="auto"/>
          <w:sz w:val="32"/>
          <w:szCs w:val="32"/>
        </w:rPr>
        <w:t>办公费</w:t>
      </w:r>
      <w:r>
        <w:rPr>
          <w:rFonts w:hint="eastAsia" w:ascii="仿宋_GB2312" w:hAnsi="黑体" w:eastAsia="仿宋_GB2312"/>
          <w:color w:val="auto"/>
          <w:sz w:val="32"/>
          <w:szCs w:val="32"/>
          <w:lang w:val="en-US" w:eastAsia="zh-CN"/>
        </w:rPr>
        <w:t>10.26</w:t>
      </w:r>
      <w:r>
        <w:rPr>
          <w:rFonts w:hint="eastAsia" w:ascii="仿宋_GB2312" w:hAnsi="黑体" w:eastAsia="仿宋_GB2312"/>
          <w:color w:val="auto"/>
          <w:sz w:val="32"/>
          <w:szCs w:val="32"/>
        </w:rPr>
        <w:t>万元、印刷费</w:t>
      </w:r>
      <w:r>
        <w:rPr>
          <w:rFonts w:hint="eastAsia" w:ascii="仿宋_GB2312" w:hAnsi="黑体" w:eastAsia="仿宋_GB2312"/>
          <w:color w:val="auto"/>
          <w:sz w:val="32"/>
          <w:szCs w:val="32"/>
          <w:lang w:val="en-US" w:eastAsia="zh-CN"/>
        </w:rPr>
        <w:t>0.78</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val="en-US" w:eastAsia="zh-CN"/>
        </w:rPr>
        <w:t>邮电费0.14万元、维修（护）费0.18万元、差旅费0.12万元、公务用车运行维护费19.28万元、其他交通费2.34万元、其他商品服务支出1.47万元</w:t>
      </w:r>
      <w:r>
        <w:rPr>
          <w:rFonts w:hint="eastAsia" w:ascii="仿宋_GB2312" w:hAnsi="黑体" w:eastAsia="仿宋_GB2312"/>
          <w:color w:val="auto"/>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hint="eastAsia" w:ascii="仿宋_GB2312" w:hAnsi="黑体" w:eastAsia="仿宋_GB2312"/>
          <w:sz w:val="32"/>
          <w:szCs w:val="32"/>
          <w:lang w:eastAsia="zh-CN"/>
        </w:rPr>
        <w:t>。</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en-AU"/>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个（其中：一般公共预算项目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个，政府性基金预算项目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个，国有资本经营预算项目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color w:val="auto"/>
          <w:kern w:val="2"/>
          <w:sz w:val="32"/>
          <w:szCs w:val="32"/>
          <w:highlight w:val="none"/>
          <w:shd w:val="clear" w:color="auto" w:fill="auto"/>
          <w:lang w:val="en-US" w:eastAsia="zh-CN" w:bidi="en-AU"/>
        </w:rPr>
      </w:pPr>
      <w:r>
        <w:rPr>
          <w:rFonts w:hint="eastAsia" w:hAnsi="宋体" w:eastAsia="仿宋_GB2312" w:cs="仿宋_GB2312"/>
          <w:sz w:val="32"/>
          <w:szCs w:val="32"/>
          <w:lang w:bidi="ar"/>
        </w:rPr>
        <w:t>组织开展单位整体绩效自评</w:t>
      </w:r>
      <w:r>
        <w:rPr>
          <w:rFonts w:hint="eastAsia" w:hAnsi="宋体" w:eastAsia="仿宋_GB2312" w:cs="仿宋_GB2312"/>
          <w:color w:val="auto"/>
          <w:kern w:val="2"/>
          <w:sz w:val="32"/>
          <w:szCs w:val="32"/>
          <w:highlight w:val="none"/>
          <w:shd w:val="clear" w:color="auto" w:fill="auto"/>
          <w:lang w:val="en-US" w:eastAsia="zh-CN" w:bidi="en-AU"/>
        </w:rPr>
        <w:t>，涉及资金</w:t>
      </w:r>
      <w:r>
        <w:rPr>
          <w:rFonts w:hint="eastAsia" w:ascii="仿宋_GB2312" w:hAnsi="宋体" w:eastAsia="仿宋_GB2312" w:cs="仿宋_GB2312"/>
          <w:color w:val="auto"/>
          <w:kern w:val="2"/>
          <w:sz w:val="32"/>
          <w:szCs w:val="32"/>
          <w:highlight w:val="none"/>
          <w:shd w:val="clear" w:color="auto" w:fill="auto"/>
          <w:lang w:val="en-US" w:eastAsia="zh-CN" w:bidi="en-AU"/>
        </w:rPr>
        <w:t>1154.80</w:t>
      </w:r>
      <w:r>
        <w:rPr>
          <w:rFonts w:hint="eastAsia" w:hAnsi="宋体" w:eastAsia="仿宋_GB2312" w:cs="仿宋_GB2312"/>
          <w:color w:val="auto"/>
          <w:kern w:val="2"/>
          <w:sz w:val="32"/>
          <w:szCs w:val="32"/>
          <w:highlight w:val="none"/>
          <w:shd w:val="clear" w:color="auto" w:fill="auto"/>
          <w:lang w:val="en-US" w:eastAsia="zh-CN" w:bidi="en-AU"/>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73.49</w:t>
      </w:r>
      <w:r>
        <w:rPr>
          <w:rFonts w:hint="eastAsia" w:hAnsi="宋体" w:eastAsia="仿宋_GB2312" w:cs="仿宋_GB2312"/>
          <w:color w:val="auto"/>
          <w:kern w:val="2"/>
          <w:sz w:val="32"/>
          <w:szCs w:val="32"/>
          <w:highlight w:val="none"/>
          <w:shd w:val="clear" w:color="auto" w:fill="auto"/>
          <w:lang w:val="en-US" w:eastAsia="zh-CN" w:bidi="en-AU"/>
        </w:rPr>
        <w:t>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hAnsi="宋体" w:eastAsia="仿宋_GB2312" w:cs="仿宋_GB2312"/>
          <w:sz w:val="32"/>
          <w:szCs w:val="32"/>
          <w:lang w:bidi="ar"/>
        </w:rPr>
        <w:t>本</w:t>
      </w:r>
      <w:r>
        <w:rPr>
          <w:rFonts w:hint="eastAsia" w:hAnsi="宋体" w:eastAsia="仿宋_GB2312" w:cs="仿宋_GB2312"/>
          <w:sz w:val="32"/>
          <w:szCs w:val="32"/>
          <w:lang w:val="en-US" w:eastAsia="zh-CN" w:bidi="ar"/>
        </w:rPr>
        <w:t>单位</w:t>
      </w:r>
      <w:r>
        <w:rPr>
          <w:rFonts w:hint="eastAsia" w:ascii="仿宋" w:hAnsi="仿宋" w:eastAsia="仿宋"/>
          <w:sz w:val="32"/>
        </w:rPr>
        <w:t>组织对</w:t>
      </w:r>
      <w:r>
        <w:rPr>
          <w:rFonts w:hint="eastAsia" w:ascii="仿宋" w:hAnsi="仿宋" w:eastAsia="仿宋"/>
          <w:sz w:val="32"/>
          <w:lang w:val="en-US" w:eastAsia="zh-CN"/>
        </w:rPr>
        <w:t>0</w:t>
      </w:r>
      <w:r>
        <w:rPr>
          <w:rFonts w:hint="eastAsia" w:ascii="仿宋" w:hAnsi="仿宋" w:eastAsia="仿宋"/>
          <w:sz w:val="32"/>
        </w:rPr>
        <w:t>个项目开展了部门评价，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r>
        <w:rPr>
          <w:rFonts w:hint="eastAsia" w:hAnsi="宋体" w:eastAsia="仿宋_GB2312" w:cs="仿宋_GB2312"/>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本部门未</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3.部门评价结果。</w:t>
      </w:r>
    </w:p>
    <w:p>
      <w:pPr>
        <w:widowControl/>
        <w:spacing w:line="520" w:lineRule="exact"/>
        <w:ind w:firstLine="640" w:firstLineChars="200"/>
        <w:jc w:val="left"/>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ascii="Times New Roman" w:hAnsi="宋体" w:eastAsia="仿宋_GB2312" w:cs="仿宋_GB2312"/>
          <w:color w:val="auto"/>
          <w:kern w:val="2"/>
          <w:sz w:val="32"/>
          <w:szCs w:val="32"/>
          <w:highlight w:val="none"/>
          <w:shd w:val="clear" w:color="auto" w:fill="auto"/>
          <w:lang w:val="en-US" w:eastAsia="zh-CN" w:bidi="ar"/>
        </w:rPr>
        <w:t>本单位整体运行良好，通过开展部门整体绩效评价</w:t>
      </w:r>
      <w:r>
        <w:rPr>
          <w:rFonts w:hint="eastAsia" w:hAnsi="宋体" w:eastAsia="仿宋_GB2312" w:cs="仿宋_GB2312"/>
          <w:color w:val="auto"/>
          <w:kern w:val="2"/>
          <w:sz w:val="32"/>
          <w:szCs w:val="32"/>
          <w:highlight w:val="none"/>
          <w:shd w:val="clear" w:color="auto" w:fill="auto"/>
          <w:lang w:val="en-US" w:eastAsia="zh-CN" w:bidi="ar"/>
        </w:rPr>
        <w:t>发现主要存在以下问</w:t>
      </w:r>
      <w:r>
        <w:rPr>
          <w:rFonts w:hint="eastAsia" w:ascii="Times New Roman" w:hAnsi="宋体" w:eastAsia="仿宋_GB2312" w:cs="仿宋_GB2312"/>
          <w:color w:val="auto"/>
          <w:kern w:val="2"/>
          <w:sz w:val="32"/>
          <w:szCs w:val="32"/>
          <w:highlight w:val="none"/>
          <w:shd w:val="clear" w:color="auto" w:fill="auto"/>
          <w:lang w:val="en-US" w:eastAsia="zh-CN" w:bidi="ar"/>
        </w:rPr>
        <w:t>题：预算项目支出绩效管理工作制度还不够完善，操作性不强。改进措施：进一步完善绩效管理工作制度和方法。合理合规使用财政资金。</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财政评价结果。</w:t>
      </w:r>
    </w:p>
    <w:p>
      <w:pPr>
        <w:pStyle w:val="15"/>
        <w:numPr>
          <w:ilvl w:val="0"/>
          <w:numId w:val="0"/>
        </w:numPr>
        <w:ind w:leftChars="200"/>
        <w:rPr>
          <w:sz w:val="32"/>
          <w:szCs w:val="32"/>
        </w:rPr>
      </w:pPr>
      <w:r>
        <w:rPr>
          <w:rFonts w:hint="eastAsia" w:ascii="Times New Roman" w:hAnsi="宋体" w:eastAsia="仿宋_GB2312" w:cs="仿宋_GB2312"/>
          <w:color w:val="auto"/>
          <w:kern w:val="2"/>
          <w:sz w:val="32"/>
          <w:szCs w:val="32"/>
          <w:highlight w:val="none"/>
          <w:shd w:val="clear" w:color="auto" w:fill="auto"/>
          <w:lang w:val="en-US" w:eastAsia="zh-CN" w:bidi="ar"/>
        </w:rPr>
        <w:t>加强资金管理，提高资金使用效率。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200" w:right="0" w:rightChars="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行政</w:t>
      </w:r>
      <w:r>
        <w:rPr>
          <w:rFonts w:hint="eastAsia" w:ascii="仿宋_GB2312" w:eastAsia="仿宋_GB2312"/>
          <w:b/>
          <w:sz w:val="32"/>
          <w:szCs w:val="32"/>
        </w:rPr>
        <w:t>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17</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.社会保障和就业支出（类）其他社会保障和就业支出（款）其他社会保障和就业支出（项）：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工伤、失业保险</w:t>
      </w:r>
      <w:r>
        <w:rPr>
          <w:rFonts w:hint="eastAsia" w:ascii="仿宋_GB2312" w:eastAsia="仿宋_GB2312"/>
          <w:sz w:val="32"/>
          <w:szCs w:val="32"/>
        </w:rPr>
        <w:t>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.卫生健康支出（类）行政事业单位医疗（款）</w:t>
      </w:r>
      <w:r>
        <w:rPr>
          <w:rFonts w:hint="eastAsia" w:ascii="仿宋_GB2312" w:eastAsia="仿宋_GB2312"/>
          <w:b/>
          <w:sz w:val="32"/>
          <w:szCs w:val="32"/>
          <w:lang w:val="en-US" w:eastAsia="zh-CN"/>
        </w:rPr>
        <w:t>行政</w:t>
      </w:r>
      <w:r>
        <w:rPr>
          <w:rFonts w:hint="eastAsia" w:ascii="仿宋_GB2312" w:eastAsia="仿宋_GB2312"/>
          <w:b/>
          <w:sz w:val="32"/>
          <w:szCs w:val="32"/>
        </w:rPr>
        <w:t>单位医疗（项）：</w:t>
      </w:r>
      <w:r>
        <w:rPr>
          <w:rFonts w:hint="eastAsia" w:ascii="仿宋_GB2312" w:eastAsia="仿宋_GB2312"/>
          <w:sz w:val="32"/>
          <w:szCs w:val="32"/>
        </w:rPr>
        <w:t>反映行政单位（包括实行公务员管理的事业单位）的医疗保险缴费支出。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.交通运输支出（类）公路水路运输（款）行政运行（项）：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基本</w:t>
      </w:r>
      <w:r>
        <w:rPr>
          <w:rFonts w:hint="eastAsia" w:ascii="仿宋_GB2312" w:eastAsia="仿宋_GB2312"/>
          <w:sz w:val="32"/>
          <w:szCs w:val="32"/>
        </w:rPr>
        <w:t>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.交通运输支出（类）公路水路运输（款）一般行政管理事务（项）：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项目</w:t>
      </w:r>
      <w:r>
        <w:rPr>
          <w:rFonts w:hint="eastAsia" w:ascii="仿宋_GB2312" w:eastAsia="仿宋_GB2312"/>
          <w:sz w:val="32"/>
          <w:szCs w:val="32"/>
        </w:rPr>
        <w:t>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.交通运输支出（类）公路水路运输（款）其他公路水路运输支出（项）：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其他项目</w:t>
      </w:r>
      <w:r>
        <w:rPr>
          <w:rFonts w:hint="eastAsia" w:ascii="仿宋_GB2312" w:eastAsia="仿宋_GB2312"/>
          <w:sz w:val="32"/>
          <w:szCs w:val="32"/>
        </w:rPr>
        <w:t>支出。</w:t>
      </w:r>
    </w:p>
    <w:p>
      <w:pPr>
        <w:spacing w:line="540" w:lineRule="exact"/>
        <w:ind w:firstLine="643" w:firstLineChars="200"/>
        <w:jc w:val="left"/>
        <w:rPr>
          <w:rFonts w:hint="default" w:ascii="仿宋_GB2312" w:eastAsia="仿宋_GB2312"/>
          <w:sz w:val="32"/>
          <w:szCs w:val="32"/>
          <w:lang w:val="en-US" w:eastAsia="zh-CN"/>
        </w:rPr>
      </w:pPr>
      <w:r>
        <w:rPr>
          <w:rFonts w:hint="eastAsia" w:ascii="仿宋_GB2312" w:eastAsia="仿宋_GB2312"/>
          <w:b/>
          <w:sz w:val="32"/>
          <w:szCs w:val="32"/>
          <w:lang w:val="en-US" w:eastAsia="zh-CN"/>
        </w:rPr>
        <w:t>25</w:t>
      </w:r>
      <w:r>
        <w:rPr>
          <w:rFonts w:hint="eastAsia" w:ascii="仿宋_GB2312" w:eastAsia="仿宋_GB2312"/>
          <w:b/>
          <w:sz w:val="32"/>
          <w:szCs w:val="32"/>
        </w:rPr>
        <w:t>.交通运输支出（类）车辆购置税支出（款）车辆购置税用于公路等基础设施建设支出（项）：</w:t>
      </w:r>
      <w:r>
        <w:rPr>
          <w:rFonts w:hint="eastAsia" w:ascii="仿宋_GB2312" w:eastAsia="仿宋_GB2312"/>
          <w:sz w:val="32"/>
          <w:szCs w:val="32"/>
        </w:rPr>
        <w:t>反映行政单位（包括实行公务员管理的事业单位）的车辆购置税用于公路等基础设施建设支出。</w:t>
      </w:r>
    </w:p>
    <w:p>
      <w:pPr>
        <w:spacing w:line="540" w:lineRule="exact"/>
        <w:ind w:firstLine="643" w:firstLineChars="200"/>
        <w:jc w:val="left"/>
        <w:rPr>
          <w:rFonts w:hint="eastAsia" w:ascii="仿宋_GB2312" w:eastAsia="仿宋_GB2312"/>
          <w:i/>
          <w:sz w:val="32"/>
          <w:szCs w:val="32"/>
          <w:u w:val="single"/>
        </w:rPr>
      </w:pPr>
      <w:r>
        <w:rPr>
          <w:rFonts w:hint="eastAsia" w:ascii="仿宋_GB2312" w:eastAsia="仿宋_GB2312"/>
          <w:b/>
          <w:sz w:val="32"/>
          <w:szCs w:val="32"/>
          <w:lang w:val="en-US" w:eastAsia="zh-CN"/>
        </w:rPr>
        <w:t>26</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both"/>
        <w:rPr>
          <w:rFonts w:hint="eastAsia" w:ascii="宋体" w:hAnsi="宋体"/>
          <w:b/>
          <w:sz w:val="36"/>
          <w:szCs w:val="36"/>
        </w:rPr>
      </w:pPr>
    </w:p>
    <w:p>
      <w:pPr>
        <w:numPr>
          <w:ilvl w:val="0"/>
          <w:numId w:val="3"/>
        </w:numPr>
        <w:spacing w:line="540" w:lineRule="exact"/>
        <w:jc w:val="center"/>
        <w:rPr>
          <w:rFonts w:hint="eastAsia" w:ascii="宋体" w:hAnsi="宋体"/>
          <w:b/>
          <w:sz w:val="52"/>
          <w:szCs w:val="52"/>
        </w:rPr>
      </w:pPr>
    </w:p>
    <w:p>
      <w:pPr>
        <w:numPr>
          <w:ilvl w:val="0"/>
          <w:numId w:val="0"/>
        </w:numPr>
        <w:spacing w:line="540" w:lineRule="exact"/>
        <w:jc w:val="both"/>
        <w:rPr>
          <w:rFonts w:hint="eastAsia" w:ascii="宋体" w:hAnsi="宋体"/>
          <w:b/>
          <w:sz w:val="52"/>
          <w:szCs w:val="52"/>
        </w:rPr>
      </w:pPr>
      <w:r>
        <w:rPr>
          <w:rFonts w:hint="eastAsia" w:ascii="宋体" w:hAnsi="宋体"/>
          <w:b/>
          <w:sz w:val="52"/>
          <w:szCs w:val="52"/>
          <w:lang w:eastAsia="zh-CN"/>
        </w:rPr>
        <w:t>盘山县交通运输局</w:t>
      </w:r>
      <w:r>
        <w:rPr>
          <w:rFonts w:hint="eastAsia" w:ascii="宋体" w:hAnsi="宋体"/>
          <w:b/>
          <w:sz w:val="52"/>
          <w:szCs w:val="52"/>
          <w:lang w:val="en-US" w:eastAsia="zh-CN"/>
        </w:rPr>
        <w:t>（</w:t>
      </w:r>
      <w:r>
        <w:rPr>
          <w:rFonts w:hint="eastAsia" w:ascii="宋体" w:hAnsi="宋体"/>
          <w:b/>
          <w:sz w:val="52"/>
          <w:szCs w:val="52"/>
          <w:lang w:eastAsia="zh-CN"/>
        </w:rPr>
        <w:t>本级</w:t>
      </w:r>
      <w:r>
        <w:rPr>
          <w:rFonts w:hint="eastAsia" w:ascii="宋体" w:hAnsi="宋体"/>
          <w:b/>
          <w:sz w:val="52"/>
          <w:szCs w:val="52"/>
          <w:lang w:val="en-US" w:eastAsia="zh-CN"/>
        </w:rPr>
        <w:t>）</w:t>
      </w:r>
      <w:r>
        <w:rPr>
          <w:rFonts w:hint="eastAsia" w:ascii="宋体" w:hAnsi="宋体"/>
          <w:b/>
          <w:sz w:val="52"/>
          <w:szCs w:val="52"/>
          <w:lang w:eastAsia="zh-CN"/>
        </w:rPr>
        <w:t>2022</w:t>
      </w:r>
      <w:r>
        <w:rPr>
          <w:rFonts w:hint="eastAsia" w:ascii="宋体" w:hAnsi="宋体"/>
          <w:b/>
          <w:sz w:val="52"/>
          <w:szCs w:val="52"/>
        </w:rPr>
        <w:t>年度</w:t>
      </w:r>
      <w:bookmarkStart w:id="0" w:name="_GoBack"/>
      <w:bookmarkEnd w:id="0"/>
      <w:r>
        <w:rPr>
          <w:rFonts w:hint="eastAsia" w:ascii="宋体" w:hAnsi="宋体"/>
          <w:b/>
          <w:sz w:val="52"/>
          <w:szCs w:val="52"/>
        </w:rPr>
        <w:t>决算表</w:t>
      </w:r>
    </w:p>
    <w:p>
      <w:pPr>
        <w:widowControl w:val="0"/>
        <w:numPr>
          <w:ilvl w:val="0"/>
          <w:numId w:val="0"/>
        </w:numPr>
        <w:spacing w:line="540" w:lineRule="exact"/>
        <w:jc w:val="center"/>
        <w:rPr>
          <w:rFonts w:hint="eastAsia" w:ascii="宋体" w:hAnsi="宋体"/>
          <w:b/>
          <w:sz w:val="52"/>
          <w:szCs w:val="52"/>
        </w:rPr>
      </w:pPr>
    </w:p>
    <w:p>
      <w:pPr>
        <w:widowControl w:val="0"/>
        <w:numPr>
          <w:ilvl w:val="0"/>
          <w:numId w:val="0"/>
        </w:numPr>
        <w:spacing w:line="540" w:lineRule="exact"/>
        <w:jc w:val="center"/>
        <w:rPr>
          <w:rFonts w:hint="eastAsia" w:ascii="宋体" w:hAnsi="宋体"/>
          <w:b/>
          <w:sz w:val="52"/>
          <w:szCs w:val="52"/>
        </w:rPr>
      </w:pPr>
    </w:p>
    <w:p>
      <w:pPr>
        <w:tabs>
          <w:tab w:val="left" w:pos="620"/>
        </w:tabs>
        <w:spacing w:line="540" w:lineRule="exact"/>
        <w:ind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二、收入决算表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三、支出决算表</w:t>
      </w:r>
    </w:p>
    <w:p>
      <w:pPr>
        <w:spacing w:line="540" w:lineRule="exact"/>
        <w:ind w:firstLine="640" w:firstLineChars="200"/>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val="en-US" w:eastAsia="zh-CN"/>
        </w:rPr>
        <w:t>收入</w:t>
      </w:r>
      <w:r>
        <w:rPr>
          <w:rFonts w:ascii="仿宋_GB2312" w:eastAsia="仿宋_GB2312"/>
          <w:sz w:val="32"/>
          <w:szCs w:val="32"/>
        </w:rPr>
        <w:t>支出决算表</w:t>
      </w:r>
    </w:p>
    <w:p>
      <w:pPr>
        <w:spacing w:line="540" w:lineRule="exact"/>
        <w:ind w:left="638" w:leftChars="304" w:firstLine="0" w:firstLineChars="0"/>
        <w:rPr>
          <w:rFonts w:hint="eastAsia"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lang w:val="en-US" w:eastAsia="zh-CN"/>
        </w:rPr>
        <w:t>九、国有资本经营预算财政拨款支出</w:t>
      </w:r>
    </w:p>
    <w:p>
      <w:pPr>
        <w:widowControl w:val="0"/>
        <w:numPr>
          <w:ilvl w:val="0"/>
          <w:numId w:val="0"/>
        </w:numPr>
        <w:spacing w:line="540" w:lineRule="exact"/>
        <w:jc w:val="both"/>
        <w:rPr>
          <w:rFonts w:hint="eastAsia" w:ascii="宋体" w:hAnsi="宋体"/>
          <w:b/>
          <w:sz w:val="52"/>
          <w:szCs w:val="52"/>
        </w:rPr>
        <w:sectPr>
          <w:footerReference r:id="rId4" w:type="default"/>
          <w:pgSz w:w="11906" w:h="16838"/>
          <w:pgMar w:top="1701" w:right="1418" w:bottom="1701" w:left="1418" w:header="851" w:footer="992" w:gutter="0"/>
          <w:cols w:space="720" w:num="1"/>
          <w:docGrid w:type="lines" w:linePitch="312" w:charSpace="0"/>
        </w:sectPr>
      </w:pP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numPr>
          <w:ilvl w:val="0"/>
          <w:numId w:val="3"/>
        </w:numPr>
        <w:spacing w:line="540" w:lineRule="exact"/>
        <w:ind w:left="0" w:leftChars="0" w:firstLine="0" w:firstLineChars="0"/>
        <w:jc w:val="center"/>
        <w:rPr>
          <w:rFonts w:hint="eastAsia" w:ascii="宋体" w:hAnsi="宋体"/>
          <w:b/>
          <w:sz w:val="52"/>
          <w:szCs w:val="52"/>
          <w:lang w:eastAsia="zh-CN"/>
        </w:rPr>
      </w:pP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p>
      <w:pPr>
        <w:numPr>
          <w:ilvl w:val="0"/>
          <w:numId w:val="0"/>
        </w:numPr>
        <w:spacing w:line="540" w:lineRule="exact"/>
        <w:ind w:leftChars="0"/>
        <w:jc w:val="both"/>
        <w:rPr>
          <w:rFonts w:hint="eastAsia" w:ascii="宋体" w:hAnsi="宋体"/>
          <w:b/>
          <w:sz w:val="52"/>
          <w:szCs w:val="52"/>
          <w:lang w:eastAsia="zh-CN"/>
        </w:rPr>
      </w:pPr>
    </w:p>
    <w:tbl>
      <w:tblPr>
        <w:tblStyle w:val="2"/>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632"/>
        <w:gridCol w:w="632"/>
        <w:gridCol w:w="1246"/>
        <w:gridCol w:w="598"/>
        <w:gridCol w:w="605"/>
        <w:gridCol w:w="598"/>
        <w:gridCol w:w="1016"/>
        <w:gridCol w:w="598"/>
        <w:gridCol w:w="605"/>
        <w:gridCol w:w="605"/>
        <w:gridCol w:w="800"/>
        <w:gridCol w:w="800"/>
        <w:gridCol w:w="800"/>
        <w:gridCol w:w="804"/>
        <w:gridCol w:w="802"/>
        <w:gridCol w:w="1580"/>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盘山县交通运输局本级</w:t>
            </w:r>
            <w:r>
              <w:rPr>
                <w:rFonts w:hint="eastAsia" w:ascii="宋体" w:hAnsi="宋体" w:eastAsia="宋体" w:cs="宋体"/>
                <w:b/>
                <w:bCs/>
                <w:i w:val="0"/>
                <w:iCs w:val="0"/>
                <w:color w:val="000000"/>
                <w:kern w:val="0"/>
                <w:sz w:val="32"/>
                <w:szCs w:val="32"/>
                <w:u w:val="none"/>
                <w:lang w:val="en-US" w:eastAsia="zh-CN" w:bidi="ar"/>
              </w:rPr>
              <w:t>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044001盘山县交通运输局本级-211122000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省道中盘线沙子河桥月牙河桥改建工程</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354.39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援疆探亲项目费用</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447.53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447.52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业务活动经费</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35.79%</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车辆费用</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历史工程欠款</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目标一：优化经济发展环境，助推县域经济社会全面可持续发展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目标二：保障村路畅通，方便百姓出行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目标三：提升行业监管能力，完善执法设备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人民群众出行总体满意度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完善内控制度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73.49</w:t>
            </w:r>
          </w:p>
        </w:tc>
      </w:tr>
    </w:tbl>
    <w:p>
      <w:pPr>
        <w:numPr>
          <w:ilvl w:val="0"/>
          <w:numId w:val="0"/>
        </w:numPr>
        <w:spacing w:line="540" w:lineRule="exact"/>
        <w:ind w:leftChars="0"/>
        <w:jc w:val="both"/>
        <w:rPr>
          <w:rFonts w:hint="eastAsia" w:ascii="宋体" w:hAnsi="宋体"/>
          <w:b/>
          <w:sz w:val="52"/>
          <w:szCs w:val="52"/>
          <w:lang w:eastAsia="zh-CN"/>
        </w:rPr>
      </w:pPr>
    </w:p>
    <w:p>
      <w:pPr>
        <w:spacing w:line="540" w:lineRule="exact"/>
        <w:jc w:val="both"/>
        <w:rPr>
          <w:rFonts w:hint="eastAsia" w:ascii="仿宋_GB2312" w:eastAsia="仿宋_GB2312"/>
          <w:sz w:val="52"/>
          <w:szCs w:val="52"/>
        </w:rPr>
      </w:pPr>
    </w:p>
    <w:p>
      <w:pPr>
        <w:spacing w:line="540" w:lineRule="exact"/>
        <w:rPr>
          <w:sz w:val="32"/>
          <w:szCs w:val="32"/>
        </w:rPr>
      </w:pPr>
    </w:p>
    <w:p>
      <w:pPr>
        <w:spacing w:line="540" w:lineRule="exact"/>
        <w:rPr>
          <w:sz w:val="32"/>
          <w:szCs w:val="32"/>
        </w:rPr>
      </w:pPr>
      <w:r>
        <w:drawing>
          <wp:anchor distT="0" distB="0" distL="114300" distR="114300" simplePos="0" relativeHeight="251659264" behindDoc="0" locked="0" layoutInCell="1" allowOverlap="1">
            <wp:simplePos x="0" y="0"/>
            <wp:positionH relativeFrom="column">
              <wp:posOffset>-462280</wp:posOffset>
            </wp:positionH>
            <wp:positionV relativeFrom="paragraph">
              <wp:posOffset>-262890</wp:posOffset>
            </wp:positionV>
            <wp:extent cx="9457055" cy="6118225"/>
            <wp:effectExtent l="0" t="0" r="10795"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9457055" cy="6118225"/>
                    </a:xfrm>
                    <a:prstGeom prst="rect">
                      <a:avLst/>
                    </a:prstGeom>
                    <a:noFill/>
                    <a:ln>
                      <a:noFill/>
                    </a:ln>
                  </pic:spPr>
                </pic:pic>
              </a:graphicData>
            </a:graphic>
          </wp:anchor>
        </w:drawing>
      </w: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instrText xml:space="preserve">PAGE  </w:instrText>
    </w:r>
    <w:r>
      <w:fldChar w:fldCharType="separate"/>
    </w:r>
    <w:r>
      <w:rPr>
        <w:rStyle w:val="12"/>
      </w:rPr>
      <w:t>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instrText xml:space="preserve">PAGE  </w:instrText>
    </w:r>
    <w:r>
      <w:fldChar w:fldCharType="separate"/>
    </w:r>
    <w:r>
      <w:rPr>
        <w:rStyle w:val="12"/>
      </w:rPr>
      <w:t>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DF3C0A78"/>
    <w:multiLevelType w:val="singleLevel"/>
    <w:tmpl w:val="DF3C0A78"/>
    <w:lvl w:ilvl="0" w:tentative="0">
      <w:start w:val="4"/>
      <w:numFmt w:val="decimal"/>
      <w:lvlText w:val="%1."/>
      <w:lvlJc w:val="left"/>
      <w:pPr>
        <w:tabs>
          <w:tab w:val="left" w:pos="312"/>
        </w:tabs>
      </w:pPr>
    </w:lvl>
  </w:abstractNum>
  <w:abstractNum w:abstractNumId="2">
    <w:nsid w:val="2F8FB5B5"/>
    <w:multiLevelType w:val="singleLevel"/>
    <w:tmpl w:val="2F8FB5B5"/>
    <w:lvl w:ilvl="0" w:tentative="0">
      <w:start w:val="4"/>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2D03681"/>
    <w:rsid w:val="02D61449"/>
    <w:rsid w:val="03084CFA"/>
    <w:rsid w:val="11294F52"/>
    <w:rsid w:val="14D0319D"/>
    <w:rsid w:val="1A857C99"/>
    <w:rsid w:val="1F503858"/>
    <w:rsid w:val="204435A8"/>
    <w:rsid w:val="257143EE"/>
    <w:rsid w:val="25CF5654"/>
    <w:rsid w:val="2CDE6947"/>
    <w:rsid w:val="2FDA422A"/>
    <w:rsid w:val="30717AD3"/>
    <w:rsid w:val="3689034F"/>
    <w:rsid w:val="36BE6EA2"/>
    <w:rsid w:val="3A625D9A"/>
    <w:rsid w:val="3DF11FA9"/>
    <w:rsid w:val="3F9E4197"/>
    <w:rsid w:val="463902F3"/>
    <w:rsid w:val="49295E46"/>
    <w:rsid w:val="49746B00"/>
    <w:rsid w:val="49D4280C"/>
    <w:rsid w:val="4DE0235E"/>
    <w:rsid w:val="515B7CB7"/>
    <w:rsid w:val="532A623A"/>
    <w:rsid w:val="585D3610"/>
    <w:rsid w:val="67CC0B6F"/>
    <w:rsid w:val="69BC2D7E"/>
    <w:rsid w:val="6A107439"/>
    <w:rsid w:val="6ED8604B"/>
    <w:rsid w:val="72CE60E3"/>
    <w:rsid w:val="745643D4"/>
    <w:rsid w:val="77FA34D6"/>
    <w:rsid w:val="7AB83901"/>
    <w:rsid w:val="7B8B4B71"/>
    <w:rsid w:val="7BC02341"/>
    <w:rsid w:val="7C5E5DE2"/>
    <w:rsid w:val="7D036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批注框文本1"/>
    <w:basedOn w:val="1"/>
    <w:qFormat/>
    <w:uiPriority w:val="0"/>
    <w:rPr>
      <w:sz w:val="18"/>
      <w:szCs w:val="18"/>
    </w:rPr>
  </w:style>
  <w:style w:type="character" w:customStyle="1" w:styleId="8">
    <w:name w:val="批注框文本 Char"/>
    <w:qFormat/>
    <w:uiPriority w:val="0"/>
    <w:rPr>
      <w:kern w:val="2"/>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qFormat/>
    <w:uiPriority w:val="0"/>
    <w:rPr>
      <w:kern w:val="2"/>
      <w:sz w:val="18"/>
      <w:szCs w:val="18"/>
    </w:rPr>
  </w:style>
  <w:style w:type="character" w:customStyle="1" w:styleId="12">
    <w:name w:val="页码1"/>
    <w:basedOn w:val="6"/>
    <w:qFormat/>
    <w:uiPriority w:val="0"/>
  </w:style>
  <w:style w:type="paragraph" w:customStyle="1" w:styleId="13">
    <w:name w:val=" 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basedOn w:val="6"/>
    <w:qFormat/>
    <w:uiPriority w:val="0"/>
    <w:rPr>
      <w:rFonts w:hint="eastAsia" w:ascii="宋体" w:hAnsi="宋体" w:eastAsia="宋体" w:cs="宋体"/>
      <w:color w:val="000000"/>
      <w:sz w:val="24"/>
      <w:szCs w:val="24"/>
      <w:u w:val="none"/>
    </w:rPr>
  </w:style>
  <w:style w:type="paragraph" w:customStyle="1" w:styleId="15">
    <w:name w:val="正文（缩进）"/>
    <w:basedOn w:val="1"/>
    <w:qFormat/>
    <w:uiPriority w:val="0"/>
    <w:pPr>
      <w:ind w:firstLine="480" w:firstLineChars="200"/>
    </w:pPr>
  </w:style>
  <w:style w:type="character" w:customStyle="1" w:styleId="16">
    <w:name w:val="font6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Props1.xml><?xml version="1.0" encoding="utf-8"?>
<ds:datastoreItem xmlns:ds="http://schemas.openxmlformats.org/officeDocument/2006/customXml" ds:itemID="{e31ddf54-4319-48ab-89f6-3948a3083444}">
  <ds:schemaRefs/>
</ds:datastoreItem>
</file>

<file path=customXml/itemProps2.xml><?xml version="1.0" encoding="utf-8"?>
<ds:datastoreItem xmlns:ds="http://schemas.openxmlformats.org/officeDocument/2006/customXml" ds:itemID="{8207c2e1-2ec8-4243-ad0a-a899a79b620a}">
  <ds:schemaRefs/>
</ds:datastoreItem>
</file>

<file path=customXml/itemProps3.xml><?xml version="1.0" encoding="utf-8"?>
<ds:datastoreItem xmlns:ds="http://schemas.openxmlformats.org/officeDocument/2006/customXml" ds:itemID="{a6e9d945-825c-425c-b888-3c2c03e8d3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5181</Words>
  <Characters>5542</Characters>
  <Lines>37</Lines>
  <Paragraphs>10</Paragraphs>
  <TotalTime>1</TotalTime>
  <ScaleCrop>false</ScaleCrop>
  <LinksUpToDate>false</LinksUpToDate>
  <CharactersWithSpaces>5576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2023-09-04T05:55:17Z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A4D9F548DF5841609C4BD65C12BFCF83_13</vt:lpwstr>
  </property>
</Properties>
</file>