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盘山县胡家学校</w:t>
      </w: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jc w:val="both"/>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盘山县胡家学校</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盘山县胡家学校</w:t>
      </w:r>
      <w:r>
        <w:rPr>
          <w:rFonts w:hint="eastAsia" w:ascii="黑体" w:hAnsi="黑体" w:eastAsia="黑体"/>
          <w:sz w:val="32"/>
          <w:szCs w:val="32"/>
          <w:lang w:eastAsia="zh-CN"/>
        </w:rPr>
        <w:t>2022</w:t>
      </w:r>
      <w:r>
        <w:rPr>
          <w:rFonts w:hint="eastAsia" w:ascii="黑体" w:hAnsi="黑体" w:eastAsia="黑体"/>
          <w:sz w:val="32"/>
          <w:szCs w:val="32"/>
        </w:rPr>
        <w:t>年度决算情况说明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盘山县胡家学校</w:t>
      </w:r>
      <w:r>
        <w:rPr>
          <w:rFonts w:hint="eastAsia" w:ascii="黑体" w:hAnsi="黑体" w:eastAsia="黑体"/>
          <w:sz w:val="32"/>
          <w:szCs w:val="32"/>
          <w:lang w:eastAsia="zh-CN"/>
        </w:rPr>
        <w:t>2022</w:t>
      </w:r>
      <w:r>
        <w:rPr>
          <w:rFonts w:hint="eastAsia" w:ascii="黑体" w:hAnsi="黑体" w:eastAsia="黑体"/>
          <w:sz w:val="32"/>
          <w:szCs w:val="32"/>
        </w:rPr>
        <w:t>年度决算报表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val="en-US" w:eastAsia="zh-CN"/>
        </w:rPr>
        <w:t>盘山县胡家学校</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（一）</w:t>
      </w:r>
      <w:r>
        <w:rPr>
          <w:rFonts w:hint="eastAsia" w:ascii="仿宋_GB2312" w:eastAsia="仿宋_GB2312"/>
          <w:sz w:val="32"/>
          <w:szCs w:val="32"/>
          <w:highlight w:val="none"/>
          <w:lang w:val="en-US" w:eastAsia="zh-CN"/>
        </w:rPr>
        <w:t>宣传贯彻执行党和国家的教育方针、政策、法律法规等，坚持依法治教、依法治学，贯彻执行教育相关行政规章制度。制定符合党的教育方针和国家教育法律法规以及本校实际的教育发展规划，并抓好组织实施和落实工作。实施九年义务教育，促进学生德智体美劳全面发展。</w:t>
      </w:r>
    </w:p>
    <w:p>
      <w:pPr>
        <w:spacing w:line="540" w:lineRule="exact"/>
        <w:ind w:firstLine="640" w:firstLineChars="200"/>
        <w:jc w:val="left"/>
        <w:rPr>
          <w:rFonts w:hint="default" w:ascii="仿宋_GB2312" w:eastAsia="仿宋_GB2312"/>
          <w:sz w:val="32"/>
          <w:szCs w:val="32"/>
          <w:highlight w:val="yellow"/>
          <w:lang w:val="en-US"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负责配合各级人民政府依法动员适龄儿童、少年入学，严格控制学生辍学，依法保证适龄儿童少年接受九年义务教育。负责科学管理、合理使用学校的设施和经费，并积极筹措资金，改善办学条件。依法接受各级教育行政部门的检查指导和人民群众的监督。</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_GB2312" w:eastAsia="仿宋_GB2312"/>
          <w:b w:val="0"/>
          <w:bCs/>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盘山县胡家学校2022</w:t>
      </w:r>
      <w:r>
        <w:rPr>
          <w:rFonts w:hint="eastAsia" w:ascii="仿宋_GB2312" w:eastAsia="仿宋_GB2312"/>
          <w:b w:val="0"/>
          <w:bCs/>
          <w:sz w:val="32"/>
          <w:szCs w:val="32"/>
        </w:rPr>
        <w:t>年决算编制范围的预算单位包括.</w:t>
      </w:r>
      <w:r>
        <w:rPr>
          <w:rFonts w:hint="eastAsia" w:ascii="仿宋_GB2312" w:eastAsia="仿宋_GB2312"/>
          <w:b w:val="0"/>
          <w:bCs/>
          <w:sz w:val="32"/>
          <w:szCs w:val="32"/>
          <w:lang w:eastAsia="zh-CN"/>
        </w:rPr>
        <w:t>盘山县胡家学校一户单位。</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val="en-US" w:eastAsia="zh-CN"/>
        </w:rPr>
        <w:t>盘山县胡家学校</w:t>
      </w:r>
      <w:r>
        <w:rPr>
          <w:rFonts w:hint="eastAsia" w:ascii="宋体" w:hAnsi="宋体"/>
          <w:b/>
          <w:sz w:val="36"/>
          <w:szCs w:val="36"/>
          <w:lang w:eastAsia="zh-CN"/>
        </w:rPr>
        <w:t>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2908.20</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2908.20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2908.20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650.67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28.82</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2908.20</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2900.04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99.72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2637.92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109.83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152.29</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8.16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0.28</w:t>
      </w:r>
      <w:r>
        <w:rPr>
          <w:rFonts w:hint="eastAsia" w:ascii="仿宋_GB2312" w:hAnsi="宋体" w:eastAsia="仿宋_GB2312"/>
          <w:sz w:val="32"/>
          <w:szCs w:val="32"/>
        </w:rPr>
        <w:t>%。主要包括义务教育优质均衡创建工作经费等业务支出。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368.03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14.49</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2908.20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2900.04</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8.16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368.03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14.49</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135.34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134.96</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2908.20</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2205.85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75.85</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424.73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14.60</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106.05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3.65</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171.57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5.90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2205.85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项）1309.79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136.41</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项）887.90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156.04</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项）8.16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424.73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项）61.70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99.36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项）249.44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107.55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项）52.33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149.51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项）48.13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项）13.13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100.61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106.05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项）106.05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102.39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171.57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项）171.57</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98.63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2900.04</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2747.75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152.29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盘山县</w:t>
      </w:r>
      <w:r>
        <w:rPr>
          <w:rFonts w:hint="eastAsia" w:ascii="仿宋_GB2312" w:hAnsi="黑体" w:eastAsia="仿宋_GB2312"/>
          <w:sz w:val="32"/>
          <w:szCs w:val="32"/>
          <w:lang w:val="en-US" w:eastAsia="zh-CN"/>
        </w:rPr>
        <w:t>胡家</w:t>
      </w:r>
      <w:r>
        <w:rPr>
          <w:rFonts w:hint="eastAsia" w:ascii="仿宋_GB2312" w:hAnsi="黑体" w:eastAsia="仿宋_GB2312"/>
          <w:sz w:val="32"/>
          <w:szCs w:val="32"/>
        </w:rPr>
        <w:t>学校为事业单位，根据机关运行经费的定义，本单位202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2148.82</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100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val="0"/>
          <w:bCs w:val="0"/>
          <w:color w:val="000000" w:themeColor="text1"/>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r>
        <w:rPr>
          <w:rFonts w:hint="eastAsia" w:ascii="仿宋_GB2312" w:hAnsi="宋体" w:eastAsia="仿宋_GB2312" w:cs="仿宋_GB2312"/>
          <w:b w:val="0"/>
          <w:bCs w:val="0"/>
          <w:color w:val="000000" w:themeColor="text1"/>
          <w:kern w:val="2"/>
          <w:sz w:val="32"/>
          <w:szCs w:val="32"/>
          <w:highlight w:val="none"/>
          <w:shd w:val="clear" w:color="auto" w:fill="auto"/>
          <w:lang w:val="en-US" w:eastAsia="zh-CN" w:bidi="en-AU"/>
        </w:rPr>
        <w:t>我校完成了正常的教育教学要求，提高了学校整体发展水平，完成了总体绩效目标。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b w:val="0"/>
          <w:bCs w:val="0"/>
          <w:sz w:val="32"/>
          <w:szCs w:val="32"/>
          <w:highlight w:val="none"/>
        </w:rPr>
      </w:pPr>
      <w:r>
        <w:rPr>
          <w:rFonts w:hint="eastAsia" w:ascii="仿宋_GB2312" w:hAnsi="宋体" w:eastAsia="仿宋_GB2312" w:cs="仿宋_GB2312"/>
          <w:b/>
          <w:bCs/>
          <w:color w:val="auto"/>
          <w:kern w:val="2"/>
          <w:sz w:val="32"/>
          <w:szCs w:val="32"/>
          <w:highlight w:val="none"/>
          <w:shd w:val="clear" w:color="auto" w:fill="auto"/>
          <w:lang w:val="en-US" w:eastAsia="zh-CN" w:bidi="en-AU"/>
        </w:rPr>
        <w:t>4.财政评价结果。</w:t>
      </w:r>
      <w:r>
        <w:rPr>
          <w:rFonts w:hint="eastAsia" w:ascii="仿宋_GB2312" w:hAnsi="宋体" w:eastAsia="仿宋_GB2312" w:cs="仿宋_GB2312"/>
          <w:b w:val="0"/>
          <w:bCs w:val="0"/>
          <w:color w:val="auto"/>
          <w:kern w:val="2"/>
          <w:sz w:val="32"/>
          <w:szCs w:val="32"/>
          <w:highlight w:val="none"/>
          <w:shd w:val="clear" w:color="auto" w:fill="auto"/>
          <w:lang w:val="en-US" w:eastAsia="zh-CN" w:bidi="en-AU"/>
        </w:rPr>
        <w:t>提高资金使用效率，加强资金管理。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.教育支出（类）普通教育（款）小学教育（项）：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各部门举办的小学教育支出。政府各部门对社会中介组织等举办的小学资助，如各类捐赠、补贴、等也在本科目中反映。</w:t>
      </w:r>
    </w:p>
    <w:p>
      <w:pPr>
        <w:spacing w:line="54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.教育支出（类）普通教育（款）</w:t>
      </w:r>
      <w:r>
        <w:rPr>
          <w:rFonts w:hint="eastAsia" w:ascii="仿宋_GB2312" w:eastAsia="仿宋_GB2312"/>
          <w:b/>
          <w:sz w:val="32"/>
          <w:szCs w:val="32"/>
          <w:highlight w:val="none"/>
          <w:lang w:val="en-US" w:eastAsia="zh-CN"/>
        </w:rPr>
        <w:t>初中</w:t>
      </w:r>
      <w:r>
        <w:rPr>
          <w:rFonts w:hint="eastAsia" w:ascii="仿宋_GB2312" w:eastAsia="仿宋_GB2312"/>
          <w:b/>
          <w:sz w:val="32"/>
          <w:szCs w:val="32"/>
          <w:highlight w:val="none"/>
        </w:rPr>
        <w:t>教育（项）：</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各部门举办的初中教育支出。政府各部门对社会中介组织等举办的初中教育的资助，如各类捐赠、补贴、等也在本科目中反映。</w:t>
      </w:r>
    </w:p>
    <w:p>
      <w:pPr>
        <w:spacing w:line="540" w:lineRule="exact"/>
        <w:ind w:firstLine="640" w:firstLineChars="200"/>
        <w:jc w:val="left"/>
        <w:rPr>
          <w:rFonts w:hint="eastAsia" w:ascii="仿宋_GB2312" w:eastAsia="仿宋_GB2312"/>
          <w:sz w:val="32"/>
          <w:szCs w:val="32"/>
          <w:highlight w:val="yellow"/>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25</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52"/>
          <w:szCs w:val="52"/>
        </w:rPr>
      </w:pPr>
      <w:r>
        <w:rPr>
          <w:rFonts w:hint="eastAsia" w:ascii="宋体" w:hAnsi="宋体"/>
          <w:b/>
          <w:sz w:val="52"/>
          <w:szCs w:val="52"/>
          <w:lang w:eastAsia="zh-CN"/>
        </w:rPr>
        <w:t>第四部分</w:t>
      </w:r>
      <w:r>
        <w:rPr>
          <w:rFonts w:hint="eastAsia" w:ascii="宋体" w:hAnsi="宋体"/>
          <w:b/>
          <w:sz w:val="52"/>
          <w:szCs w:val="52"/>
          <w:lang w:val="en-US" w:eastAsia="zh-CN"/>
        </w:rPr>
        <w:t xml:space="preserve"> 盘山县胡家学校</w:t>
      </w:r>
      <w:r>
        <w:rPr>
          <w:rFonts w:hint="eastAsia" w:ascii="宋体" w:hAnsi="宋体"/>
          <w:b/>
          <w:sz w:val="52"/>
          <w:szCs w:val="52"/>
          <w:lang w:eastAsia="zh-CN"/>
        </w:rPr>
        <w:t>2022</w:t>
      </w:r>
      <w:r>
        <w:rPr>
          <w:rFonts w:hint="eastAsia" w:ascii="宋体" w:hAnsi="宋体"/>
          <w:b/>
          <w:sz w:val="52"/>
          <w:szCs w:val="52"/>
        </w:rPr>
        <w:t>年度决算表</w:t>
      </w:r>
    </w:p>
    <w:p>
      <w:pPr>
        <w:numPr>
          <w:ilvl w:val="0"/>
          <w:numId w:val="0"/>
        </w:numPr>
        <w:spacing w:line="540" w:lineRule="exact"/>
        <w:jc w:val="both"/>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jc w:val="both"/>
        <w:rPr>
          <w:rFonts w:hint="eastAsia" w:ascii="仿宋_GB2312" w:eastAsia="仿宋_GB2312"/>
          <w:sz w:val="32"/>
          <w:szCs w:val="32"/>
        </w:rPr>
      </w:pPr>
      <w:r>
        <w:rPr>
          <w:rFonts w:hint="eastAsia" w:ascii="仿宋_GB2312" w:eastAsia="仿宋_GB2312"/>
          <w:sz w:val="32"/>
          <w:szCs w:val="32"/>
        </w:rPr>
        <w:t>二、收入决算表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三、支出决算表</w:t>
      </w:r>
    </w:p>
    <w:p>
      <w:pPr>
        <w:spacing w:line="540" w:lineRule="exact"/>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numPr>
          <w:ilvl w:val="0"/>
          <w:numId w:val="2"/>
        </w:numPr>
        <w:spacing w:line="540" w:lineRule="exact"/>
        <w:jc w:val="center"/>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p>
      <w:pPr>
        <w:widowControl w:val="0"/>
        <w:numPr>
          <w:numId w:val="0"/>
        </w:numPr>
        <w:spacing w:line="540" w:lineRule="exact"/>
        <w:jc w:val="center"/>
        <w:rPr>
          <w:rFonts w:hint="eastAsia" w:ascii="宋体" w:hAnsi="宋体"/>
          <w:b/>
          <w:sz w:val="52"/>
          <w:szCs w:val="52"/>
          <w:lang w:eastAsia="zh-CN"/>
        </w:rPr>
      </w:pPr>
    </w:p>
    <w:tbl>
      <w:tblPr>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2"/>
        <w:gridCol w:w="632"/>
        <w:gridCol w:w="632"/>
        <w:gridCol w:w="1247"/>
        <w:gridCol w:w="599"/>
        <w:gridCol w:w="605"/>
        <w:gridCol w:w="599"/>
        <w:gridCol w:w="1016"/>
        <w:gridCol w:w="599"/>
        <w:gridCol w:w="605"/>
        <w:gridCol w:w="605"/>
        <w:gridCol w:w="801"/>
        <w:gridCol w:w="804"/>
        <w:gridCol w:w="803"/>
        <w:gridCol w:w="804"/>
        <w:gridCol w:w="803"/>
        <w:gridCol w:w="1577"/>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部门（单位）整体绩效自评表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Style w:val="15"/>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021010盘山县胡家学校-211122000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部门预算基本支出人员经费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2713.89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2713.89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保证学校正常运转和人员正常经费的运行，保障学校日常工作运行。</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保证学校正常运转和人员正常经费的运行，保障学校日常工作运行。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社会效应</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家长满意度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当地群众满意度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建立高层次创新人才绩效激励机制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bl>
    <w:p>
      <w:pPr>
        <w:widowControl w:val="0"/>
        <w:numPr>
          <w:numId w:val="0"/>
        </w:numPr>
        <w:spacing w:line="540" w:lineRule="exact"/>
        <w:jc w:val="center"/>
        <w:rPr>
          <w:rFonts w:hint="eastAsia" w:ascii="宋体" w:hAnsi="宋体"/>
          <w:b/>
          <w:sz w:val="52"/>
          <w:szCs w:val="52"/>
          <w:lang w:eastAsia="zh-CN"/>
        </w:rPr>
      </w:pP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bookmarkStart w:id="0" w:name="_GoBack"/>
      <w:r>
        <w:rPr>
          <w:sz w:val="32"/>
          <w:szCs w:val="32"/>
        </w:rPr>
        <w:drawing>
          <wp:anchor distT="0" distB="0" distL="114300" distR="114300" simplePos="0" relativeHeight="251659264" behindDoc="0" locked="0" layoutInCell="1" allowOverlap="1">
            <wp:simplePos x="0" y="0"/>
            <wp:positionH relativeFrom="column">
              <wp:posOffset>-601345</wp:posOffset>
            </wp:positionH>
            <wp:positionV relativeFrom="paragraph">
              <wp:posOffset>-1456055</wp:posOffset>
            </wp:positionV>
            <wp:extent cx="9457055" cy="6118225"/>
            <wp:effectExtent l="0" t="0" r="10795" b="1587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bookmarkEnd w:id="0"/>
    </w:p>
    <w:sectPr>
      <w:footerReference r:id="rId3" w:type="default"/>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DCEE33"/>
    <w:multiLevelType w:val="singleLevel"/>
    <w:tmpl w:val="28DCEE33"/>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D1F770D"/>
    <w:rsid w:val="29BF7707"/>
    <w:rsid w:val="2A53244F"/>
    <w:rsid w:val="35182AF0"/>
    <w:rsid w:val="3D532C55"/>
    <w:rsid w:val="4CAC7A71"/>
    <w:rsid w:val="4F1D5E30"/>
    <w:rsid w:val="63D86F45"/>
    <w:rsid w:val="745D6EFB"/>
    <w:rsid w:val="75292D91"/>
    <w:rsid w:val="7BA91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6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75ff7393-e5a1-4cb5-b98e-d314ff07b4af}">
  <ds:schemaRefs/>
</ds:datastoreItem>
</file>

<file path=customXml/itemProps2.xml><?xml version="1.0" encoding="utf-8"?>
<ds:datastoreItem xmlns:ds="http://schemas.openxmlformats.org/officeDocument/2006/customXml" ds:itemID="{d73e9d7a-ee50-44a4-a735-6a75762434f5}">
  <ds:schemaRefs/>
</ds:datastoreItem>
</file>

<file path=customXml/itemProps3.xml><?xml version="1.0" encoding="utf-8"?>
<ds:datastoreItem xmlns:ds="http://schemas.openxmlformats.org/officeDocument/2006/customXml" ds:itemID="{9ef9ff4c-103f-490e-a1e8-85b92219d8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4838</Words>
  <Characters>5282</Characters>
  <Lines>37</Lines>
  <Paragraphs>10</Paragraphs>
  <TotalTime>0</TotalTime>
  <ScaleCrop>false</ScaleCrop>
  <LinksUpToDate>false</LinksUpToDate>
  <CharactersWithSpaces>5314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2023-09-08T07:19:27Z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F0732EBE8C774FC381DFD06FAF14938A_13</vt:lpwstr>
  </property>
</Properties>
</file>