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盘锦市辽河口第二小学</w:t>
      </w:r>
    </w:p>
    <w:p>
      <w:pPr>
        <w:spacing w:line="540" w:lineRule="exact"/>
        <w:jc w:val="center"/>
        <w:rPr>
          <w:rFonts w:ascii="宋体" w:hAnsi="宋体"/>
          <w:b/>
          <w:sz w:val="52"/>
          <w:szCs w:val="52"/>
        </w:rPr>
      </w:pPr>
      <w:r>
        <w:rPr>
          <w:rFonts w:hint="eastAsia" w:ascii="宋体" w:hAnsi="宋体"/>
          <w:b/>
          <w:sz w:val="52"/>
          <w:szCs w:val="52"/>
        </w:rPr>
        <w:t>2022年度决算公开说明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盘锦市辽河口第二小学概况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jc w:val="center"/>
        <w:rPr>
          <w:rFonts w:ascii="黑体" w:hAnsi="黑体" w:eastAsia="黑体"/>
          <w:sz w:val="32"/>
          <w:szCs w:val="32"/>
        </w:rPr>
      </w:pPr>
      <w:r>
        <w:rPr>
          <w:rFonts w:hint="eastAsia" w:ascii="黑体" w:hAnsi="黑体" w:eastAsia="黑体"/>
          <w:sz w:val="32"/>
          <w:szCs w:val="32"/>
        </w:rPr>
        <w:t>第二部分    盘锦市辽河口第二小学2022年度决算情况说明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盘锦市辽河口第二小学2022年度决算报表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rPr>
          <w:rFonts w:ascii="黑体" w:hAnsi="黑体" w:eastAsia="黑体"/>
          <w:b/>
          <w:sz w:val="44"/>
          <w:szCs w:val="44"/>
          <w:u w:val="single"/>
        </w:rPr>
      </w:pPr>
      <w:r>
        <w:rPr>
          <w:rFonts w:hint="eastAsia" w:ascii="黑体" w:hAnsi="黑体" w:eastAsia="黑体"/>
          <w:sz w:val="32"/>
          <w:szCs w:val="32"/>
        </w:rPr>
        <w:t xml:space="preserve">  </w:t>
      </w:r>
    </w:p>
    <w:p>
      <w:pPr>
        <w:spacing w:line="540" w:lineRule="exact"/>
        <w:jc w:val="center"/>
        <w:rPr>
          <w:rFonts w:ascii="宋体" w:hAnsi="宋体"/>
          <w:b/>
          <w:sz w:val="36"/>
          <w:szCs w:val="36"/>
        </w:rPr>
      </w:pPr>
      <w:r>
        <w:br w:type="page"/>
      </w:r>
      <w:r>
        <w:rPr>
          <w:rFonts w:hint="eastAsia" w:ascii="宋体" w:hAnsi="宋体"/>
          <w:b/>
          <w:sz w:val="36"/>
          <w:szCs w:val="36"/>
        </w:rPr>
        <w:t>第一部分 盘锦市辽河口第二小学概况</w:t>
      </w:r>
    </w:p>
    <w:p>
      <w:pPr>
        <w:spacing w:line="540" w:lineRule="exact"/>
        <w:ind w:firstLine="640" w:firstLineChars="200"/>
        <w:jc w:val="left"/>
        <w:rPr>
          <w:rFonts w:ascii="黑体" w:eastAsia="黑体"/>
          <w:sz w:val="32"/>
          <w:szCs w:val="32"/>
        </w:rPr>
      </w:pPr>
    </w:p>
    <w:p>
      <w:pPr>
        <w:numPr>
          <w:ilvl w:val="0"/>
          <w:numId w:val="2"/>
        </w:numPr>
        <w:spacing w:line="540" w:lineRule="exact"/>
        <w:ind w:firstLine="640" w:firstLineChars="200"/>
        <w:jc w:val="left"/>
        <w:rPr>
          <w:rFonts w:ascii="黑体" w:eastAsia="黑体"/>
          <w:sz w:val="32"/>
          <w:szCs w:val="32"/>
        </w:rPr>
      </w:pPr>
      <w:r>
        <w:rPr>
          <w:rFonts w:hint="eastAsia" w:ascii="黑体" w:eastAsia="黑体"/>
          <w:sz w:val="32"/>
          <w:szCs w:val="32"/>
        </w:rPr>
        <w:t>主要职责</w:t>
      </w:r>
    </w:p>
    <w:p>
      <w:pPr>
        <w:spacing w:line="540"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盘锦市辽河口</w:t>
      </w:r>
      <w:r>
        <w:rPr>
          <w:rFonts w:ascii="仿宋" w:hAnsi="仿宋" w:eastAsia="仿宋" w:cs="仿宋"/>
          <w:color w:val="333333"/>
          <w:sz w:val="32"/>
          <w:szCs w:val="32"/>
        </w:rPr>
        <w:t>第二小学</w:t>
      </w:r>
      <w:r>
        <w:rPr>
          <w:rFonts w:hint="eastAsia" w:ascii="仿宋" w:hAnsi="仿宋" w:eastAsia="仿宋" w:cs="仿宋"/>
          <w:color w:val="333333"/>
          <w:sz w:val="32"/>
          <w:szCs w:val="32"/>
        </w:rPr>
        <w:t>贯彻落实党中央、省、市、县委关于教育工作的方针政策和决策部署，在履行职责过程中坚持和加强党对教育工作的集中统一领导。主要职责是：</w:t>
      </w:r>
    </w:p>
    <w:p>
      <w:pPr>
        <w:spacing w:line="540"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（一）贯彻执行党和国家教育改革与发展方针、政策和规划，落实国家和省、市、县有关法律、法规和规章；制定全校教育改革与发展规划，落实省、市、县的有关文件精神。</w:t>
      </w:r>
    </w:p>
    <w:p>
      <w:pPr>
        <w:spacing w:line="540"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（二）指导学校党的建设、精神文明建设、思想政治工作、稳定工作、干部教育工作和群团工作。按分工负责学校各职能部门建设，协调督促落实市、县教育工作领导小组决定的事项、工作部署和要求。</w:t>
      </w:r>
    </w:p>
    <w:p>
      <w:pPr>
        <w:spacing w:line="540"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（三）负责深化学校教育领域综合改革和各年部规划和协调管理，指导全校教育教学改革，组织、协调开展学校教育体系国际化、生态化的日常工作，做好学校基本信息的统计、分析和发布。</w:t>
      </w:r>
    </w:p>
    <w:p>
      <w:pPr>
        <w:spacing w:line="540"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（四）负责学校的教师管理工作，统筹规划和指导教育教学人才队伍建设，认真落实市县有关教师职称考核工作。</w:t>
      </w:r>
    </w:p>
    <w:p>
      <w:pPr>
        <w:spacing w:line="540"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（五）负责管理本学校教育经费，监测教育经费的筹措和使用情况。做好年初预算和年末决算，负责学校全国教育经费的统计与上报工作。</w:t>
      </w:r>
    </w:p>
    <w:p>
      <w:pPr>
        <w:spacing w:line="540"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（六）指导全校师生的教育教学和思想教育工作，由教务处、教导处以及团委共同负责，做好学生毕业与升学考试工作。</w:t>
      </w:r>
    </w:p>
    <w:p>
      <w:pPr>
        <w:spacing w:line="540"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（七）完成上级部门交办的其他任务。</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rPr>
        <w:t>纳入盘锦市辽河口第二小学2022年</w:t>
      </w:r>
      <w:bookmarkStart w:id="1" w:name="_GoBack"/>
      <w:bookmarkEnd w:id="1"/>
      <w:r>
        <w:rPr>
          <w:rFonts w:hint="eastAsia" w:ascii="仿宋_GB2312" w:eastAsia="仿宋_GB2312"/>
          <w:bCs/>
          <w:sz w:val="32"/>
          <w:szCs w:val="32"/>
        </w:rPr>
        <w:t>决算编制范围预算单位包括盘锦市辽河口第二小学一户单位。</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盘锦市辽河口第二小学</w:t>
      </w:r>
    </w:p>
    <w:p>
      <w:pPr>
        <w:spacing w:line="540" w:lineRule="exact"/>
        <w:ind w:firstLine="723" w:firstLineChars="200"/>
        <w:jc w:val="center"/>
        <w:rPr>
          <w:rFonts w:ascii="宋体" w:hAnsi="宋体"/>
          <w:b/>
          <w:sz w:val="36"/>
          <w:szCs w:val="36"/>
        </w:rPr>
      </w:pPr>
      <w:r>
        <w:rPr>
          <w:rFonts w:hint="eastAsia" w:ascii="宋体" w:hAnsi="宋体"/>
          <w:b/>
          <w:sz w:val="36"/>
          <w:szCs w:val="36"/>
        </w:rPr>
        <w:t>2022年度决算情况说明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（一）收入总计2121.41万元，包括：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1.财政拨款收入1669.40万元，占</w:t>
      </w:r>
      <w:r>
        <w:rPr>
          <w:rFonts w:ascii="仿宋_GB2312" w:hAnsi="宋体" w:eastAsia="仿宋_GB2312"/>
          <w:sz w:val="32"/>
          <w:szCs w:val="32"/>
        </w:rPr>
        <w:t>收入总计的</w:t>
      </w:r>
      <w:r>
        <w:rPr>
          <w:rFonts w:hint="eastAsia" w:ascii="仿宋_GB2312" w:hAnsi="宋体" w:eastAsia="仿宋_GB2312"/>
          <w:sz w:val="32"/>
          <w:szCs w:val="32"/>
        </w:rPr>
        <w:t>78.69</w:t>
      </w:r>
      <w:r>
        <w:rPr>
          <w:rFonts w:ascii="仿宋_GB2312" w:hAnsi="宋体" w:eastAsia="仿宋_GB2312"/>
          <w:sz w:val="32"/>
          <w:szCs w:val="32"/>
        </w:rPr>
        <w:t>%</w:t>
      </w:r>
      <w:r>
        <w:rPr>
          <w:rFonts w:hint="eastAsia" w:ascii="仿宋_GB2312" w:hAnsi="宋体" w:eastAsia="仿宋_GB2312"/>
          <w:sz w:val="32"/>
          <w:szCs w:val="32"/>
        </w:rPr>
        <w:t>。其中：一般公共预算财政拨款收入1669.40万元，政府性基金收入0万元，国有资本经营预算财政拨款收入0万元。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6.其他收入1.49万元，占收入总计的0.07%。主要是银行利息等收入。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8.上年结转和结余450.51万元，占收入总计的21.24%。主要是人员经费和农村义务教育校舍维修等。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与上年相比，今年收入增加128.64万元，增长8.34%，主要原因：人员经费增加。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（二）支出总计1723.59万元，包括：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1.基本支出1617.97万元，占支出总计的93.87%。主要是为保障机构正常运转、完成日常工作任务而发生的各项支出，其中：工资福利支出1471.73万元，对个人和家庭的补助支出74.98万元，商品和服务支出71.25万元。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2.项目支出105.62万元，占支出总计的6.13%。主要包括2022年城乡义务教育补助经费农村校舍安全保障长效机制、义务教育优质均衡创建工作经费、校车运营费等业务支出。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与上年相比，今年支出增加139.98万元，增长8.84%，主要原因：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项目增加。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（三）年末结转和结余397.82万元。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_GB2312" w:hAnsi="仿宋" w:eastAsia="仿宋_GB2312" w:cs="仿宋"/>
          <w:sz w:val="32"/>
          <w:szCs w:val="32"/>
        </w:rPr>
        <w:t>人员经费结转</w:t>
      </w:r>
      <w:r>
        <w:rPr>
          <w:rFonts w:hint="eastAsia" w:ascii="仿宋_GB2312" w:hAnsi="宋体" w:eastAsia="仿宋_GB2312"/>
          <w:sz w:val="32"/>
          <w:szCs w:val="32"/>
        </w:rPr>
        <w:t>。与上年相比，今年结转结余减少52.70万元，降低11.70%，主要原因：</w:t>
      </w:r>
      <w:r>
        <w:rPr>
          <w:rFonts w:hint="eastAsia" w:ascii="仿宋_GB2312" w:hAnsi="仿宋" w:eastAsia="仿宋_GB2312" w:cs="仿宋"/>
          <w:sz w:val="32"/>
          <w:szCs w:val="32"/>
        </w:rPr>
        <w:t>上缴财政存量资金</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2022年度财政拨款支出1723.59万元，其中：基本支出1617.97万元，项目支出105.62万元。与</w:t>
      </w:r>
      <w:r>
        <w:rPr>
          <w:rFonts w:ascii="仿宋_GB2312" w:hAnsi="宋体" w:eastAsia="仿宋_GB2312"/>
          <w:sz w:val="32"/>
          <w:szCs w:val="32"/>
        </w:rPr>
        <w:t>上年相比，</w:t>
      </w:r>
      <w:r>
        <w:rPr>
          <w:rFonts w:hint="eastAsia" w:ascii="仿宋_GB2312" w:hAnsi="宋体" w:eastAsia="仿宋_GB2312"/>
          <w:sz w:val="32"/>
          <w:szCs w:val="32"/>
        </w:rPr>
        <w:t>财政拨款支出增加139.98万元，增长8.84%，主要原因：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项目增加。与年初预算相比，2022年度财政拨款支出完成年初预算的125.67%，其中：基本支出完成年初预算的123.37%，项目完成年初预算的176.03%。</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2022年度一般公共预算财政拨款支出1723.59万元，按支出功能分类科目分，包括：教育支出1302.66万元，占75.58</w:t>
      </w:r>
      <w:r>
        <w:rPr>
          <w:rFonts w:ascii="仿宋_GB2312" w:hAnsi="宋体" w:eastAsia="仿宋_GB2312"/>
          <w:sz w:val="32"/>
          <w:szCs w:val="32"/>
        </w:rPr>
        <w:t>%</w:t>
      </w:r>
      <w:r>
        <w:rPr>
          <w:rFonts w:hint="eastAsia" w:ascii="仿宋_GB2312" w:hAnsi="宋体" w:eastAsia="仿宋_GB2312"/>
          <w:sz w:val="32"/>
          <w:szCs w:val="32"/>
        </w:rPr>
        <w:t>；社会保障和就业支出256.30万元，占14.87</w:t>
      </w:r>
      <w:r>
        <w:rPr>
          <w:rFonts w:ascii="仿宋_GB2312" w:hAnsi="宋体" w:eastAsia="仿宋_GB2312"/>
          <w:sz w:val="32"/>
          <w:szCs w:val="32"/>
        </w:rPr>
        <w:t>%</w:t>
      </w:r>
      <w:r>
        <w:rPr>
          <w:rFonts w:hint="eastAsia" w:ascii="仿宋_GB2312" w:hAnsi="宋体" w:eastAsia="仿宋_GB2312"/>
          <w:sz w:val="32"/>
          <w:szCs w:val="32"/>
        </w:rPr>
        <w:t>；卫生健康支出62.23万元，占3.61</w:t>
      </w:r>
      <w:r>
        <w:rPr>
          <w:rFonts w:ascii="仿宋_GB2312" w:hAnsi="宋体" w:eastAsia="仿宋_GB2312"/>
          <w:sz w:val="32"/>
          <w:szCs w:val="32"/>
        </w:rPr>
        <w:t>%</w:t>
      </w:r>
      <w:r>
        <w:rPr>
          <w:rFonts w:hint="eastAsia" w:ascii="仿宋_GB2312" w:hAnsi="宋体" w:eastAsia="仿宋_GB2312"/>
          <w:sz w:val="32"/>
          <w:szCs w:val="32"/>
        </w:rPr>
        <w:t>；住房保障支出102.40万元，占5.94</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1.教育支出1302.66万元，具体包括：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（1）教育支出（类）普通教育（款）小学教育（项）1262.66万元，主要是人员工资福利保险及日常公用经费等支出，完成年初预算的131.21%，决算数大于年初预算数的原因主要是人员经费增加。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（2）教育支出（类）普通教育（款）其他普通教育支出（项）30.00万元，主要是2022年城乡义务教育补助经费农村校舍安全保障长效机制等支出，年初未做预算。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（3）教育支出（类）教育费附加安排的支出（款）其他教育费附加安排的支出（项）10.00万元，主要是义务教育优质均衡创建工作经费等支出，年初未做预算。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2.社会保障和就业支出256.30万元，具体包括：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（1）社会保障和就业支出（类）行政事业单位养老支出（款）事业单位离退休（项）42.05万元，主要是离退休人员等支出，完成年初预算的77.91%，决算数小于年初预算数的原因主要是人员变动。</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机关事业单位基本养老保险缴费支出（项）141.58万元，主要是机关事业单位基本养老保险缴费支出等支出，完成年初预算的101.19%，决算数大于年初预算数的原因主要是人员变动及保险基数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职业年金缴费支出（项）32.05万元，主要是机关事业单位职业年金缴费支出等支出，完成年初预算的80.13%，决算数小于年初预算数的原因主要是人员变动及保险基数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（4）社会保障和就业支出（类）抚恤（款）死亡抚恤（项）32.94万元，主要是死亡抚恤金等支出，年初未做预算。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其他社会保障和就业支出（款）其他社会保障和就业支出（项）7.68万元，主要是工伤、失业保险金缴费支出等支出，完成年初预算的97.46%，决算数小于年初预算数的原因主要是人员变动及保险基数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3.卫生健康支出62.23万元，具体包括：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（1）卫生健康支出（类）行政事业单位医疗（款）事业单位医疗（项）62.23万元，主要是行政单位医疗保险等支出，完成年初预算的99.60%，决算数小于年初预算数的原因主要是人员变动及保险基数调整。</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4.住房保障支出102.40万元，具体包括：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（1）住房保障支出（类）住房改革支出（款）住房公积金（项）102.40万元，主要是住房公积金缴费等支出，完成年初预算的97.58%，决算数小于年初预算数的原因主要是人员变动及基数调整。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2022年度政府性基金预算财政拨款支出0万元。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2022年度国有资本经营预算财政拨款支出0万元。</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2022年度一般公共预算财政拨款安排的“三公”经费支出万元。其中：因公出国（境）费0万元，公务接待费0万元，公务用车购置及运行维护费0万元。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1.因公出国（境）费0万元。2022年参加出国（境）团组0个，累计0人次。2022年因公出国（境）费与上年持平。</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2.公务接待费0万元。2022年国内公务接待累计0批次、0人、0万元；其中外事接待累计0批次、0人、0万元。2022年公务接待费与上年持平。</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0万元。与上年持平。</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其中：公务用车购置费0万元,当年购置公务用车0辆。公务用车运行维护费0万元，截至年末使用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公务用车保有量0辆。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基本支出1617.97万元，其中：人员经费1546.71万元，主要包括基本工资、津贴补贴、奖金、其他社会保障缴费、机关事业单位基本养老保险缴费、其他工资福利支出、离休费、退休费、抚恤金、生活补助、奖励金、住房公积金、采暖补贴、其他对个人和家庭补助的支出；日常公用经费71.25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宋体" w:eastAsia="仿宋_GB2312" w:cs="宋体"/>
          <w:sz w:val="32"/>
          <w:szCs w:val="32"/>
        </w:rPr>
        <w:t>盘锦市辽河口第二小学</w:t>
      </w:r>
      <w:r>
        <w:rPr>
          <w:rFonts w:hint="eastAsia" w:ascii="仿宋_GB2312" w:hAnsi="黑体" w:eastAsia="仿宋_GB2312"/>
          <w:sz w:val="32"/>
          <w:szCs w:val="32"/>
        </w:rPr>
        <w:t>为事业单位，根据机关运行经费的定义，本单位2021年度、2022年度无机关运行经费支出。</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中小企业采购支出总额的0%；货物采购授予中小企业合同金额占货物支出金额的0%；工程采购授予中小企业合同金额占货物支出金额的0%；服务采购授予中小企业合同金额占货物支出金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截至2022年12月31日，共有车辆0辆，其中：副省级以上领导干部用车0辆，主要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其他用车0辆；单价100万元（含）以上设备（不含车辆）0台（套）。</w:t>
      </w:r>
    </w:p>
    <w:p>
      <w:pPr>
        <w:widowControl/>
        <w:spacing w:line="540" w:lineRule="exact"/>
        <w:ind w:firstLine="643" w:firstLineChars="200"/>
        <w:jc w:val="left"/>
      </w:pPr>
      <w:r>
        <w:rPr>
          <w:rFonts w:ascii="楷体_GB2312" w:hAnsi="宋体" w:eastAsia="楷体_GB2312" w:cs="楷体_GB2312"/>
          <w:b/>
          <w:sz w:val="32"/>
          <w:szCs w:val="32"/>
          <w:lang w:bidi="en-AU"/>
        </w:rPr>
        <w:t>（四）预算绩效情况。</w:t>
      </w:r>
    </w:p>
    <w:p>
      <w:pPr>
        <w:widowControl/>
        <w:spacing w:line="520" w:lineRule="exact"/>
        <w:ind w:firstLine="643" w:firstLineChars="200"/>
        <w:jc w:val="left"/>
        <w:rPr>
          <w:rFonts w:hint="eastAsia"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1.绩效评价工作开展情况。</w:t>
      </w:r>
    </w:p>
    <w:p>
      <w:pPr>
        <w:widowControl/>
        <w:spacing w:line="520" w:lineRule="exact"/>
        <w:ind w:firstLine="640" w:firstLineChars="200"/>
        <w:jc w:val="left"/>
        <w:rPr>
          <w:rFonts w:hint="eastAsia" w:ascii="仿宋_GB2312"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bidi="ar"/>
        </w:rPr>
        <w:t>0分。</w:t>
      </w:r>
    </w:p>
    <w:p>
      <w:pPr>
        <w:widowControl/>
        <w:spacing w:line="520" w:lineRule="exact"/>
        <w:ind w:firstLine="640" w:firstLineChars="200"/>
        <w:jc w:val="left"/>
        <w:rPr>
          <w:rFonts w:hint="eastAsia"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组织开展</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w:t>
      </w:r>
      <w:r>
        <w:rPr>
          <w:rFonts w:hint="eastAsia" w:hAnsi="宋体" w:eastAsia="仿宋_GB2312" w:cs="仿宋_GB2312"/>
          <w:sz w:val="32"/>
          <w:szCs w:val="32"/>
          <w:lang w:bidi="ar"/>
        </w:rPr>
        <w:t>单位整体绩效自评，涉及资金</w:t>
      </w:r>
      <w:r>
        <w:rPr>
          <w:rFonts w:hint="eastAsia" w:ascii="仿宋_GB2312" w:hAnsi="宋体" w:eastAsia="仿宋_GB2312" w:cs="仿宋_GB2312"/>
          <w:sz w:val="32"/>
          <w:szCs w:val="32"/>
          <w:lang w:val="en-US" w:eastAsia="zh-CN" w:bidi="ar"/>
        </w:rPr>
        <w:t>1371.51</w:t>
      </w:r>
      <w:r>
        <w:rPr>
          <w:rFonts w:hint="eastAsia" w:hAnsi="宋体" w:eastAsia="仿宋_GB2312" w:cs="仿宋_GB2312"/>
          <w:sz w:val="32"/>
          <w:szCs w:val="32"/>
          <w:lang w:bidi="ar"/>
        </w:rPr>
        <w:t>万元，自评分</w:t>
      </w:r>
      <w:r>
        <w:rPr>
          <w:rFonts w:hint="eastAsia" w:ascii="仿宋_GB2312" w:hAnsi="宋体" w:eastAsia="仿宋_GB2312" w:cs="仿宋_GB2312"/>
          <w:sz w:val="32"/>
          <w:szCs w:val="32"/>
          <w:lang w:bidi="ar"/>
        </w:rPr>
        <w:t>80</w:t>
      </w:r>
      <w:r>
        <w:rPr>
          <w:rFonts w:hint="eastAsia" w:ascii="仿宋_GB2312" w:hAnsi="宋体" w:eastAsia="仿宋_GB2312" w:cs="仿宋_GB2312"/>
          <w:sz w:val="32"/>
          <w:szCs w:val="32"/>
          <w:lang w:val="en-US" w:eastAsia="zh-CN" w:bidi="ar"/>
        </w:rPr>
        <w:t>.05</w:t>
      </w:r>
      <w:r>
        <w:rPr>
          <w:rFonts w:hint="eastAsia" w:hAnsi="宋体" w:eastAsia="仿宋_GB2312" w:cs="仿宋_GB2312"/>
          <w:sz w:val="32"/>
          <w:szCs w:val="32"/>
          <w:lang w:bidi="ar"/>
        </w:rPr>
        <w:t>分。</w:t>
      </w:r>
    </w:p>
    <w:p>
      <w:pPr>
        <w:widowControl/>
        <w:spacing w:line="520" w:lineRule="exact"/>
        <w:ind w:firstLine="640" w:firstLineChars="200"/>
        <w:jc w:val="left"/>
        <w:rPr>
          <w:rFonts w:hint="eastAsia" w:ascii="仿宋_GB2312" w:hAnsi="宋体" w:eastAsia="仿宋_GB2312" w:cs="仿宋_GB2312"/>
          <w:sz w:val="32"/>
          <w:szCs w:val="32"/>
          <w:lang w:bidi="ar"/>
        </w:rPr>
      </w:pPr>
      <w:r>
        <w:rPr>
          <w:rFonts w:hint="eastAsia" w:hAnsi="宋体" w:eastAsia="仿宋_GB2312" w:cs="仿宋_GB2312"/>
          <w:sz w:val="32"/>
          <w:szCs w:val="32"/>
          <w:lang w:bidi="ar"/>
        </w:rPr>
        <w:t>《部门（单位）整体绩效自评表》见附件。</w:t>
      </w:r>
    </w:p>
    <w:p>
      <w:pPr>
        <w:widowControl/>
        <w:spacing w:line="520" w:lineRule="exact"/>
        <w:ind w:firstLine="640" w:firstLineChars="200"/>
        <w:jc w:val="left"/>
        <w:rPr>
          <w:rFonts w:hAnsi="宋体" w:eastAsia="仿宋_GB2312" w:cs="仿宋_GB2312"/>
          <w:sz w:val="32"/>
          <w:szCs w:val="32"/>
          <w:lang w:val="en" w:bidi="ar"/>
        </w:rPr>
      </w:pPr>
      <w:r>
        <w:rPr>
          <w:rFonts w:hint="eastAsia" w:hAnsi="宋体" w:eastAsia="仿宋_GB2312" w:cs="仿宋_GB2312"/>
          <w:sz w:val="32"/>
          <w:szCs w:val="32"/>
          <w:lang w:bidi="ar"/>
        </w:rPr>
        <w:t>本单位</w:t>
      </w:r>
      <w:r>
        <w:rPr>
          <w:rFonts w:hint="eastAsia" w:ascii="仿宋" w:hAnsi="仿宋" w:eastAsia="仿宋"/>
          <w:sz w:val="32"/>
        </w:rPr>
        <w:t>组织对“</w:t>
      </w:r>
      <w:r>
        <w:rPr>
          <w:rFonts w:hint="eastAsia" w:ascii="仿宋_GB2312" w:hAnsi="宋体" w:eastAsia="仿宋_GB2312" w:cs="仿宋_GB2312"/>
          <w:sz w:val="32"/>
          <w:szCs w:val="32"/>
          <w:lang w:bidi="ar"/>
        </w:rPr>
        <w:t>人员类项目</w:t>
      </w:r>
      <w:r>
        <w:rPr>
          <w:rFonts w:hint="eastAsia" w:ascii="仿宋" w:hAnsi="仿宋" w:eastAsia="仿宋"/>
          <w:sz w:val="32"/>
        </w:rPr>
        <w:t>”“</w:t>
      </w:r>
      <w:r>
        <w:rPr>
          <w:rFonts w:hint="eastAsia" w:ascii="仿宋_GB2312" w:hAnsi="宋体" w:eastAsia="仿宋_GB2312" w:cs="仿宋_GB2312"/>
          <w:sz w:val="32"/>
          <w:szCs w:val="32"/>
          <w:lang w:bidi="ar"/>
        </w:rPr>
        <w:t>公用经费类项目</w:t>
      </w:r>
      <w:r>
        <w:rPr>
          <w:rFonts w:hint="eastAsia" w:ascii="仿宋" w:hAnsi="仿宋" w:eastAsia="仿宋"/>
          <w:sz w:val="32"/>
        </w:rPr>
        <w:t>”“</w:t>
      </w:r>
      <w:r>
        <w:rPr>
          <w:rFonts w:hint="eastAsia" w:ascii="仿宋" w:hAnsi="仿宋" w:eastAsia="仿宋"/>
          <w:b/>
          <w:sz w:val="32"/>
        </w:rPr>
        <w:t>其他运转类项目</w:t>
      </w:r>
      <w:r>
        <w:rPr>
          <w:rFonts w:hint="eastAsia" w:ascii="仿宋" w:hAnsi="仿宋" w:eastAsia="仿宋"/>
          <w:sz w:val="32"/>
        </w:rPr>
        <w:t>”等</w:t>
      </w:r>
      <w:r>
        <w:rPr>
          <w:rFonts w:hint="eastAsia" w:ascii="仿宋_GB2312" w:hAnsi="宋体" w:eastAsia="仿宋_GB2312" w:cs="仿宋_GB2312"/>
          <w:sz w:val="32"/>
          <w:szCs w:val="32"/>
          <w:lang w:bidi="ar"/>
        </w:rPr>
        <w:t>3</w:t>
      </w:r>
      <w:r>
        <w:rPr>
          <w:rFonts w:hint="eastAsia" w:ascii="仿宋" w:hAnsi="仿宋" w:eastAsia="仿宋"/>
          <w:sz w:val="32"/>
        </w:rPr>
        <w:t>个项目开展了单位评价，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1371.51</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1371.51</w:t>
      </w:r>
      <w:r>
        <w:rPr>
          <w:rFonts w:hint="eastAsia" w:ascii="仿宋_GB2312" w:hAnsi="宋体" w:eastAsia="仿宋_GB2312" w:cs="仿宋_GB2312"/>
          <w:sz w:val="32"/>
          <w:szCs w:val="32"/>
          <w:lang w:bidi="ar"/>
        </w:rPr>
        <w:t>万元，政府性基金预算资金0万元，国有资本经营预算资金0万元）</w:t>
      </w:r>
      <w:r>
        <w:rPr>
          <w:rFonts w:hint="eastAsia" w:hAnsi="宋体" w:eastAsia="仿宋_GB2312" w:cs="仿宋_GB2312"/>
          <w:sz w:val="32"/>
          <w:szCs w:val="32"/>
          <w:lang w:bidi="ar"/>
        </w:rPr>
        <w:t>。从评价情况来看，</w:t>
      </w:r>
      <w:r>
        <w:rPr>
          <w:rFonts w:hint="eastAsia" w:hAnsi="宋体" w:eastAsia="仿宋_GB2312" w:cs="仿宋_GB2312"/>
          <w:sz w:val="32"/>
          <w:szCs w:val="32"/>
          <w:lang w:val="en" w:bidi="ar"/>
        </w:rPr>
        <w:t>各个项目</w:t>
      </w:r>
      <w:r>
        <w:rPr>
          <w:rFonts w:hAnsi="宋体" w:eastAsia="仿宋_GB2312" w:cs="仿宋_GB2312"/>
          <w:sz w:val="32"/>
          <w:szCs w:val="32"/>
          <w:lang w:val="en" w:bidi="ar"/>
        </w:rPr>
        <w:t>都能完成指标</w:t>
      </w:r>
      <w:r>
        <w:rPr>
          <w:rFonts w:hint="eastAsia" w:hAnsi="宋体" w:eastAsia="仿宋_GB2312" w:cs="仿宋_GB2312"/>
          <w:sz w:val="32"/>
          <w:szCs w:val="32"/>
          <w:lang w:val="en" w:bidi="ar"/>
        </w:rPr>
        <w:t>。</w:t>
      </w:r>
    </w:p>
    <w:p>
      <w:pPr>
        <w:widowControl/>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2.项目绩效自评结果。</w:t>
      </w:r>
    </w:p>
    <w:p>
      <w:pPr>
        <w:widowControl/>
        <w:spacing w:line="52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盘锦市辽河口</w:t>
      </w:r>
      <w:r>
        <w:rPr>
          <w:rFonts w:hint="eastAsia" w:ascii="仿宋_GB2312" w:hAnsi="宋体" w:eastAsia="仿宋_GB2312" w:cs="仿宋_GB2312"/>
          <w:sz w:val="32"/>
          <w:szCs w:val="32"/>
          <w:lang w:eastAsia="zh-CN" w:bidi="ar"/>
        </w:rPr>
        <w:t>第二小学</w:t>
      </w:r>
      <w:r>
        <w:rPr>
          <w:rFonts w:hint="eastAsia" w:ascii="仿宋_GB2312" w:hAnsi="宋体" w:eastAsia="仿宋_GB2312" w:cs="仿宋_GB2312"/>
          <w:sz w:val="32"/>
          <w:szCs w:val="32"/>
          <w:lang w:bidi="ar"/>
        </w:rPr>
        <w:t>在2022年度没有特定目标项目。</w:t>
      </w:r>
    </w:p>
    <w:p>
      <w:pPr>
        <w:widowControl/>
        <w:spacing w:line="520" w:lineRule="exact"/>
        <w:ind w:firstLine="640" w:firstLineChars="200"/>
        <w:jc w:val="left"/>
        <w:rPr>
          <w:rFonts w:hint="eastAsia" w:hAnsi="宋体" w:eastAsia="仿宋_GB2312" w:cs="仿宋_GB2312"/>
          <w:sz w:val="32"/>
          <w:szCs w:val="32"/>
          <w:lang w:bidi="ar"/>
        </w:rPr>
      </w:pPr>
      <w:r>
        <w:rPr>
          <w:rFonts w:hint="eastAsia" w:hAnsi="宋体" w:eastAsia="仿宋_GB2312" w:cs="仿宋_GB2312"/>
          <w:sz w:val="32"/>
          <w:szCs w:val="32"/>
          <w:lang w:bidi="ar"/>
        </w:rPr>
        <w:t>《预算（项目）政策绩效自评表》见附件</w:t>
      </w:r>
    </w:p>
    <w:p>
      <w:pPr>
        <w:widowControl/>
        <w:spacing w:line="520" w:lineRule="exact"/>
        <w:ind w:firstLine="643" w:firstLineChars="200"/>
        <w:jc w:val="left"/>
        <w:rPr>
          <w:rFonts w:hint="eastAsia" w:hAnsi="宋体" w:eastAsia="仿宋_GB2312" w:cs="仿宋_GB2312"/>
          <w:b/>
          <w:sz w:val="32"/>
          <w:szCs w:val="32"/>
          <w:lang w:bidi="ar"/>
        </w:rPr>
      </w:pPr>
      <w:r>
        <w:rPr>
          <w:rFonts w:hint="eastAsia" w:hAnsi="宋体" w:eastAsia="仿宋_GB2312" w:cs="仿宋_GB2312"/>
          <w:b/>
          <w:sz w:val="32"/>
          <w:szCs w:val="32"/>
          <w:lang w:bidi="ar"/>
        </w:rPr>
        <w:t>3.部门评价结果</w:t>
      </w:r>
    </w:p>
    <w:p>
      <w:pPr>
        <w:widowControl/>
        <w:spacing w:line="520" w:lineRule="exact"/>
        <w:ind w:firstLine="640" w:firstLineChars="200"/>
        <w:jc w:val="left"/>
        <w:rPr>
          <w:rFonts w:hint="eastAsia" w:hAnsi="宋体" w:eastAsia="仿宋_GB2312" w:cs="仿宋_GB2312"/>
          <w:sz w:val="32"/>
          <w:szCs w:val="32"/>
          <w:lang w:bidi="ar"/>
        </w:rPr>
      </w:pPr>
      <w:r>
        <w:rPr>
          <w:rFonts w:hint="eastAsia" w:hAnsi="宋体" w:eastAsia="仿宋_GB2312" w:cs="仿宋_GB2312"/>
          <w:sz w:val="32"/>
          <w:szCs w:val="32"/>
          <w:lang w:bidi="ar"/>
        </w:rPr>
        <w:t>盘锦市辽河口</w:t>
      </w:r>
      <w:r>
        <w:rPr>
          <w:rFonts w:hint="eastAsia" w:ascii="仿宋_GB2312" w:hAnsi="宋体" w:eastAsia="仿宋_GB2312" w:cs="仿宋_GB2312"/>
          <w:sz w:val="32"/>
          <w:szCs w:val="32"/>
          <w:lang w:eastAsia="zh-CN" w:bidi="ar"/>
        </w:rPr>
        <w:t>第二小学</w:t>
      </w:r>
      <w:r>
        <w:rPr>
          <w:rFonts w:hint="eastAsia" w:hAnsi="宋体" w:eastAsia="仿宋_GB2312" w:cs="仿宋_GB2312"/>
          <w:sz w:val="32"/>
          <w:szCs w:val="32"/>
          <w:lang w:bidi="ar"/>
        </w:rPr>
        <w:t>运行平稳，财政资金使用合理，管理规范。</w:t>
      </w:r>
    </w:p>
    <w:p>
      <w:pPr>
        <w:widowControl/>
        <w:spacing w:line="520" w:lineRule="exact"/>
        <w:ind w:firstLine="643" w:firstLineChars="200"/>
        <w:jc w:val="left"/>
        <w:rPr>
          <w:rFonts w:hint="eastAsia" w:hAnsi="宋体" w:eastAsia="仿宋_GB2312" w:cs="仿宋_GB2312"/>
          <w:b/>
          <w:sz w:val="32"/>
          <w:szCs w:val="32"/>
          <w:lang w:bidi="ar"/>
        </w:rPr>
      </w:pPr>
      <w:r>
        <w:rPr>
          <w:rFonts w:hint="eastAsia" w:hAnsi="宋体" w:eastAsia="仿宋_GB2312" w:cs="仿宋_GB2312"/>
          <w:b/>
          <w:sz w:val="32"/>
          <w:szCs w:val="32"/>
          <w:lang w:bidi="ar"/>
        </w:rPr>
        <w:t>4.财政评价结果</w:t>
      </w:r>
    </w:p>
    <w:p>
      <w:pPr>
        <w:widowControl/>
        <w:spacing w:line="520" w:lineRule="exact"/>
        <w:ind w:firstLine="640" w:firstLineChars="200"/>
        <w:jc w:val="left"/>
        <w:rPr>
          <w:rFonts w:hint="eastAsia" w:ascii="仿宋_GB2312" w:hAnsi="宋体" w:eastAsia="仿宋_GB2312" w:cs="仿宋_GB2312"/>
          <w:sz w:val="32"/>
          <w:szCs w:val="32"/>
          <w:lang w:bidi="ar"/>
        </w:rPr>
      </w:pPr>
      <w:r>
        <w:rPr>
          <w:rFonts w:hint="eastAsia" w:hAnsi="宋体" w:eastAsia="仿宋_GB2312" w:cs="仿宋_GB2312"/>
          <w:sz w:val="32"/>
          <w:szCs w:val="32"/>
          <w:lang w:bidi="ar"/>
        </w:rPr>
        <w:t>提高资金使用效率，加强资金管理。</w:t>
      </w:r>
    </w:p>
    <w:p>
      <w:pPr>
        <w:widowControl/>
        <w:ind w:firstLine="640" w:firstLineChars="200"/>
        <w:jc w:val="left"/>
        <w:rPr>
          <w:rFonts w:hint="eastAsia" w:ascii="仿宋_GB2312" w:hAnsi="仿宋_GB2312" w:eastAsia="仿宋_GB2312" w:cs="仿宋_GB2312"/>
          <w:sz w:val="32"/>
          <w:szCs w:val="32"/>
          <w:lang w:bidi="en-AU"/>
        </w:rPr>
      </w:pPr>
    </w:p>
    <w:p>
      <w:pPr>
        <w:widowControl/>
        <w:ind w:firstLine="420" w:firstLineChars="200"/>
        <w:jc w:val="left"/>
        <w:rPr>
          <w:rFonts w:ascii="宋体" w:hAnsi="宋体"/>
          <w:b/>
          <w:sz w:val="36"/>
          <w:szCs w:val="36"/>
        </w:rPr>
      </w:pPr>
      <w:r>
        <w:br w:type="page"/>
      </w:r>
      <w:r>
        <w:rPr>
          <w:rFonts w:hint="eastAsia"/>
        </w:rPr>
        <w:t xml:space="preserve">                           </w:t>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指单位从县级财政部门取得的财政预算资金。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16.教育支出（类）普通教育（款）小学教育（项）：</w:t>
      </w:r>
      <w:r>
        <w:rPr>
          <w:rFonts w:hint="eastAsia" w:ascii="仿宋_GB2312" w:eastAsia="仿宋_GB2312"/>
          <w:sz w:val="32"/>
          <w:szCs w:val="32"/>
        </w:rPr>
        <w:t>反映各部门举办的小学教育支出。政府各部门对社会中介组织等举办的小学资助，如各类捐赠、补贴、等也在本科目中反映。</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17.教育支出（类）普通教育（款）其他普通教育支出（项）：</w:t>
      </w:r>
      <w:r>
        <w:rPr>
          <w:rFonts w:hint="eastAsia" w:ascii="仿宋_GB2312" w:eastAsia="仿宋_GB2312"/>
          <w:sz w:val="32"/>
          <w:szCs w:val="32"/>
        </w:rPr>
        <w:t>反映除上述项目外其他普通教育支出。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18.教育支出（类）教育费附加安排的支出（款）其他教育费附加安排的支出（项）：</w:t>
      </w:r>
      <w:r>
        <w:rPr>
          <w:rFonts w:hint="eastAsia" w:ascii="仿宋_GB2312" w:eastAsia="仿宋_GB2312"/>
          <w:sz w:val="32"/>
          <w:szCs w:val="32"/>
        </w:rPr>
        <w:t>反映除上述项目外其他普通教育支出。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19.社会保障和就业支出（类）行政事业单位养老支出（款）事业单位离退休（项）：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20.社会保障和就业支出（类）行政事业单位养老支出（款）机关事业单位基本养老保险缴费支出（项）：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21.社会保障和就业支出（类）行政事业单位养老支出（款）机关事业单位职业年金缴费支出（项）：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22.社会保障和就业支出（类）抚恤（款）死亡抚恤（项）：</w:t>
      </w:r>
      <w:r>
        <w:rPr>
          <w:rFonts w:hint="eastAsia" w:ascii="仿宋_GB2312" w:eastAsia="仿宋_GB2312"/>
          <w:sz w:val="32"/>
          <w:szCs w:val="32"/>
        </w:rPr>
        <w:t>反映行政单位（包括实行公务员管理的事业单位）的死亡抚恤金支出。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23.社会保障和就业支出（类）其他社会保障和就业支出（款）其他社会保障和就业支出（项）：</w:t>
      </w:r>
      <w:r>
        <w:rPr>
          <w:rFonts w:hint="eastAsia" w:ascii="仿宋_GB2312" w:eastAsia="仿宋_GB2312"/>
          <w:sz w:val="32"/>
          <w:szCs w:val="32"/>
        </w:rPr>
        <w:t>反映行政单位（包括实行公务员管理的事业单位）的工伤、失业保险金缴费支出。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24.卫生健康支出（类）行政事业单位医疗（款）事业单位医疗（项）：</w:t>
      </w:r>
      <w:r>
        <w:rPr>
          <w:rFonts w:hint="eastAsia" w:ascii="仿宋_GB2312" w:eastAsia="仿宋_GB2312"/>
          <w:sz w:val="32"/>
          <w:szCs w:val="32"/>
        </w:rPr>
        <w:t>反映事业单位的医疗保险缴费支出。</w:t>
      </w:r>
    </w:p>
    <w:p>
      <w:pPr>
        <w:spacing w:line="540" w:lineRule="exact"/>
        <w:ind w:firstLine="643" w:firstLineChars="200"/>
        <w:jc w:val="left"/>
        <w:rPr>
          <w:rFonts w:ascii="仿宋_GB2312" w:eastAsia="仿宋_GB2312"/>
          <w:i/>
          <w:sz w:val="32"/>
          <w:szCs w:val="32"/>
          <w:u w:val="single"/>
        </w:rPr>
      </w:pPr>
      <w:r>
        <w:rPr>
          <w:rFonts w:hint="eastAsia" w:ascii="仿宋_GB2312" w:eastAsia="仿宋_GB2312"/>
          <w:b/>
          <w:sz w:val="32"/>
          <w:szCs w:val="32"/>
        </w:rPr>
        <w:t>25.住房保障支出（类）住房改革支出（款）住房公积金（项）：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第四部分 盘锦市辽河口第二小学</w:t>
      </w:r>
    </w:p>
    <w:p>
      <w:pPr>
        <w:spacing w:line="540" w:lineRule="exact"/>
        <w:ind w:firstLine="3654" w:firstLineChars="700"/>
        <w:rPr>
          <w:rFonts w:ascii="宋体" w:hAnsi="宋体"/>
          <w:b/>
          <w:sz w:val="52"/>
          <w:szCs w:val="52"/>
        </w:rPr>
      </w:pPr>
      <w:r>
        <w:rPr>
          <w:rFonts w:hint="eastAsia" w:ascii="宋体" w:hAnsi="宋体"/>
          <w:b/>
          <w:sz w:val="52"/>
          <w:szCs w:val="52"/>
        </w:rPr>
        <w:t>2022年度决算表</w:t>
      </w:r>
    </w:p>
    <w:p>
      <w:pPr>
        <w:spacing w:line="540" w:lineRule="exact"/>
        <w:rPr>
          <w:rFonts w:ascii="宋体" w:hAnsi="宋体"/>
          <w:b/>
          <w:sz w:val="52"/>
          <w:szCs w:val="52"/>
        </w:rPr>
      </w:pPr>
    </w:p>
    <w:p>
      <w:pPr>
        <w:spacing w:line="540" w:lineRule="exact"/>
        <w:rPr>
          <w:rFonts w:ascii="仿宋" w:hAnsi="仿宋" w:eastAsia="仿宋"/>
          <w:sz w:val="32"/>
          <w:szCs w:val="32"/>
        </w:rPr>
      </w:pPr>
      <w:r>
        <w:rPr>
          <w:rFonts w:hint="eastAsia" w:ascii="仿宋" w:hAnsi="仿宋" w:eastAsia="仿宋"/>
          <w:sz w:val="32"/>
          <w:szCs w:val="32"/>
        </w:rPr>
        <w:t>一、收入支出决算总表</w:t>
      </w:r>
    </w:p>
    <w:p>
      <w:pPr>
        <w:spacing w:line="540" w:lineRule="exact"/>
        <w:rPr>
          <w:rFonts w:ascii="仿宋" w:hAnsi="仿宋" w:eastAsia="仿宋"/>
          <w:sz w:val="32"/>
          <w:szCs w:val="32"/>
        </w:rPr>
      </w:pPr>
      <w:r>
        <w:rPr>
          <w:rFonts w:hint="eastAsia" w:ascii="仿宋" w:hAnsi="仿宋" w:eastAsia="仿宋"/>
          <w:sz w:val="32"/>
          <w:szCs w:val="32"/>
        </w:rPr>
        <w:t>二、收入决算表</w:t>
      </w:r>
    </w:p>
    <w:p>
      <w:pPr>
        <w:spacing w:line="540" w:lineRule="exact"/>
        <w:rPr>
          <w:rFonts w:ascii="仿宋" w:hAnsi="仿宋" w:eastAsia="仿宋"/>
          <w:sz w:val="32"/>
          <w:szCs w:val="32"/>
        </w:rPr>
      </w:pPr>
      <w:r>
        <w:rPr>
          <w:rFonts w:hint="eastAsia" w:ascii="仿宋" w:hAnsi="仿宋" w:eastAsia="仿宋"/>
          <w:sz w:val="32"/>
          <w:szCs w:val="32"/>
        </w:rPr>
        <w:t>三、支出决算表</w:t>
      </w:r>
    </w:p>
    <w:p>
      <w:pPr>
        <w:spacing w:line="540" w:lineRule="exact"/>
        <w:rPr>
          <w:rFonts w:ascii="仿宋" w:hAnsi="仿宋" w:eastAsia="仿宋"/>
          <w:sz w:val="32"/>
          <w:szCs w:val="32"/>
        </w:rPr>
      </w:pPr>
      <w:r>
        <w:rPr>
          <w:rFonts w:hint="eastAsia" w:ascii="仿宋" w:hAnsi="仿宋" w:eastAsia="仿宋"/>
          <w:sz w:val="32"/>
          <w:szCs w:val="32"/>
        </w:rPr>
        <w:t>四、财政拨款收入支出决算表</w:t>
      </w:r>
    </w:p>
    <w:p>
      <w:pPr>
        <w:spacing w:line="540" w:lineRule="exact"/>
        <w:rPr>
          <w:rFonts w:ascii="仿宋" w:hAnsi="仿宋" w:eastAsia="仿宋"/>
          <w:sz w:val="32"/>
          <w:szCs w:val="32"/>
        </w:rPr>
      </w:pPr>
      <w:r>
        <w:rPr>
          <w:rFonts w:hint="eastAsia" w:ascii="仿宋" w:hAnsi="仿宋" w:eastAsia="仿宋"/>
          <w:sz w:val="32"/>
          <w:szCs w:val="32"/>
        </w:rPr>
        <w:t>五、一般公共预算财政拨款支出决算表</w:t>
      </w:r>
    </w:p>
    <w:p>
      <w:pPr>
        <w:spacing w:line="540" w:lineRule="exact"/>
        <w:rPr>
          <w:rFonts w:ascii="仿宋" w:hAnsi="仿宋" w:eastAsia="仿宋"/>
          <w:sz w:val="32"/>
          <w:szCs w:val="32"/>
        </w:rPr>
      </w:pPr>
      <w:r>
        <w:rPr>
          <w:rFonts w:hint="eastAsia" w:ascii="仿宋" w:hAnsi="仿宋" w:eastAsia="仿宋"/>
          <w:sz w:val="32"/>
          <w:szCs w:val="32"/>
        </w:rPr>
        <w:t>六、一般公共预算财政拨款基本支出决算表</w:t>
      </w:r>
    </w:p>
    <w:p>
      <w:pPr>
        <w:spacing w:line="540" w:lineRule="exact"/>
        <w:rPr>
          <w:rFonts w:ascii="仿宋" w:hAnsi="仿宋" w:eastAsia="仿宋"/>
          <w:sz w:val="32"/>
          <w:szCs w:val="32"/>
        </w:rPr>
      </w:pPr>
      <w:r>
        <w:rPr>
          <w:rFonts w:hint="eastAsia" w:ascii="仿宋" w:hAnsi="仿宋" w:eastAsia="仿宋"/>
          <w:sz w:val="32"/>
          <w:szCs w:val="32"/>
        </w:rPr>
        <w:t>七、一般公共预算财政拨款“三公”经费支出决算表</w:t>
      </w:r>
    </w:p>
    <w:p>
      <w:pPr>
        <w:spacing w:line="540" w:lineRule="exact"/>
        <w:rPr>
          <w:rFonts w:ascii="仿宋" w:hAnsi="仿宋" w:eastAsia="仿宋"/>
          <w:sz w:val="32"/>
          <w:szCs w:val="32"/>
        </w:rPr>
      </w:pPr>
      <w:r>
        <w:rPr>
          <w:rFonts w:hint="eastAsia" w:ascii="仿宋" w:hAnsi="仿宋" w:eastAsia="仿宋"/>
          <w:sz w:val="32"/>
          <w:szCs w:val="32"/>
        </w:rPr>
        <w:t>八、政府性基金预算财政拨款支出决算表</w:t>
      </w:r>
    </w:p>
    <w:p>
      <w:pPr>
        <w:spacing w:line="540" w:lineRule="exact"/>
        <w:rPr>
          <w:rFonts w:hint="eastAsia" w:ascii="仿宋" w:hAnsi="仿宋" w:eastAsia="仿宋"/>
          <w:sz w:val="32"/>
          <w:szCs w:val="32"/>
        </w:rPr>
        <w:sectPr>
          <w:footerReference r:id="rId3" w:type="default"/>
          <w:pgSz w:w="11906" w:h="16838"/>
          <w:pgMar w:top="1701" w:right="1418" w:bottom="1701" w:left="1418" w:header="851" w:footer="992" w:gutter="0"/>
          <w:cols w:space="720" w:num="1"/>
          <w:docGrid w:type="lines" w:linePitch="312" w:charSpace="0"/>
        </w:sectPr>
      </w:pPr>
      <w:r>
        <w:rPr>
          <w:rFonts w:hint="eastAsia" w:ascii="仿宋" w:hAnsi="仿宋" w:eastAsia="仿宋"/>
          <w:sz w:val="32"/>
          <w:szCs w:val="32"/>
        </w:rPr>
        <w:t>九、国有资本经营预算财政拨款支出决算表</w:t>
      </w:r>
    </w:p>
    <w:p>
      <w:pPr>
        <w:spacing w:line="540" w:lineRule="exact"/>
        <w:jc w:val="center"/>
        <w:rPr>
          <w:rFonts w:hint="eastAsia" w:ascii="宋体" w:hAnsi="宋体"/>
          <w:b/>
          <w:sz w:val="52"/>
          <w:szCs w:val="52"/>
        </w:rPr>
      </w:pPr>
    </w:p>
    <w:p>
      <w:pPr>
        <w:spacing w:line="540" w:lineRule="exact"/>
        <w:rPr>
          <w:rFonts w:hint="eastAsia" w:ascii="宋体" w:hAnsi="宋体"/>
          <w:b/>
          <w:sz w:val="52"/>
          <w:szCs w:val="52"/>
        </w:rPr>
      </w:pPr>
    </w:p>
    <w:p>
      <w:pPr>
        <w:spacing w:line="540" w:lineRule="exact"/>
        <w:rPr>
          <w:rFonts w:hint="eastAsia" w:ascii="宋体" w:hAnsi="宋体"/>
          <w:b/>
          <w:sz w:val="52"/>
          <w:szCs w:val="52"/>
        </w:rPr>
      </w:pPr>
    </w:p>
    <w:p>
      <w:pPr>
        <w:spacing w:line="540" w:lineRule="exact"/>
        <w:rPr>
          <w:rFonts w:hint="eastAsia" w:ascii="宋体" w:hAnsi="宋体"/>
          <w:b/>
          <w:sz w:val="52"/>
          <w:szCs w:val="52"/>
        </w:rPr>
      </w:pPr>
    </w:p>
    <w:p>
      <w:pPr>
        <w:spacing w:line="540" w:lineRule="exact"/>
        <w:rPr>
          <w:rFonts w:hint="eastAsia" w:ascii="宋体" w:hAnsi="宋体"/>
          <w:b/>
          <w:sz w:val="52"/>
          <w:szCs w:val="52"/>
        </w:rPr>
      </w:pPr>
    </w:p>
    <w:p>
      <w:pPr>
        <w:spacing w:line="540" w:lineRule="exact"/>
        <w:rPr>
          <w:rFonts w:hint="eastAsia" w:ascii="宋体" w:hAnsi="宋体"/>
          <w:b/>
          <w:sz w:val="52"/>
          <w:szCs w:val="52"/>
        </w:rPr>
      </w:pPr>
    </w:p>
    <w:p>
      <w:pPr>
        <w:spacing w:line="540" w:lineRule="exact"/>
        <w:rPr>
          <w:rFonts w:hint="eastAsia" w:ascii="宋体" w:hAnsi="宋体"/>
          <w:b/>
          <w:sz w:val="52"/>
          <w:szCs w:val="52"/>
        </w:rPr>
      </w:pPr>
    </w:p>
    <w:p>
      <w:pPr>
        <w:spacing w:line="540" w:lineRule="exact"/>
        <w:rPr>
          <w:rFonts w:hint="eastAsia" w:ascii="宋体" w:hAnsi="宋体"/>
          <w:b/>
          <w:sz w:val="52"/>
          <w:szCs w:val="52"/>
        </w:rPr>
      </w:pPr>
    </w:p>
    <w:p>
      <w:pPr>
        <w:spacing w:line="540" w:lineRule="exact"/>
        <w:jc w:val="center"/>
        <w:rPr>
          <w:rFonts w:hint="eastAsia" w:ascii="宋体" w:hAnsi="宋体"/>
          <w:b/>
          <w:sz w:val="52"/>
          <w:szCs w:val="52"/>
        </w:rPr>
      </w:pPr>
      <w:r>
        <w:rPr>
          <w:rFonts w:hint="eastAsia" w:ascii="宋体" w:hAnsi="宋体"/>
          <w:b/>
          <w:sz w:val="52"/>
          <w:szCs w:val="52"/>
        </w:rPr>
        <w:t>第五部分   附件</w:t>
      </w: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rPr>
          <w:rFonts w:hint="eastAsia" w:ascii="仿宋_GB2312" w:eastAsia="仿宋_GB2312"/>
          <w:sz w:val="52"/>
          <w:szCs w:val="52"/>
        </w:rPr>
      </w:pPr>
    </w:p>
    <w:p>
      <w:pPr>
        <w:spacing w:line="540" w:lineRule="exact"/>
        <w:jc w:val="left"/>
        <w:rPr>
          <w:rFonts w:hint="eastAsia" w:ascii="仿宋_GB2312" w:eastAsia="仿宋_GB2312"/>
          <w:sz w:val="52"/>
          <w:szCs w:val="52"/>
        </w:rPr>
      </w:pPr>
    </w:p>
    <w:p>
      <w:pPr>
        <w:rPr>
          <w:sz w:val="32"/>
          <w:szCs w:val="32"/>
        </w:rPr>
      </w:pPr>
    </w:p>
    <w:tbl>
      <w:tblPr>
        <w:tblStyle w:val="5"/>
        <w:tblW w:w="14940" w:type="dxa"/>
        <w:tblInd w:w="87" w:type="dxa"/>
        <w:tblLayout w:type="autofit"/>
        <w:tblCellMar>
          <w:top w:w="0" w:type="dxa"/>
          <w:left w:w="108" w:type="dxa"/>
          <w:bottom w:w="0" w:type="dxa"/>
          <w:right w:w="108" w:type="dxa"/>
        </w:tblCellMar>
      </w:tblPr>
      <w:tblGrid>
        <w:gridCol w:w="630"/>
        <w:gridCol w:w="630"/>
        <w:gridCol w:w="630"/>
        <w:gridCol w:w="1104"/>
        <w:gridCol w:w="610"/>
        <w:gridCol w:w="613"/>
        <w:gridCol w:w="610"/>
        <w:gridCol w:w="1016"/>
        <w:gridCol w:w="610"/>
        <w:gridCol w:w="613"/>
        <w:gridCol w:w="615"/>
        <w:gridCol w:w="807"/>
        <w:gridCol w:w="809"/>
        <w:gridCol w:w="808"/>
        <w:gridCol w:w="809"/>
        <w:gridCol w:w="808"/>
        <w:gridCol w:w="1609"/>
        <w:gridCol w:w="1609"/>
      </w:tblGrid>
      <w:tr>
        <w:tblPrEx>
          <w:tblCellMar>
            <w:top w:w="0" w:type="dxa"/>
            <w:left w:w="108" w:type="dxa"/>
            <w:bottom w:w="0" w:type="dxa"/>
            <w:right w:w="108" w:type="dxa"/>
          </w:tblCellMar>
        </w:tblPrEx>
        <w:trPr>
          <w:trHeight w:val="624" w:hRule="atLeast"/>
        </w:trPr>
        <w:tc>
          <w:tcPr>
            <w:tcW w:w="14940" w:type="dxa"/>
            <w:gridSpan w:val="18"/>
            <w:vMerge w:val="restart"/>
            <w:tcBorders>
              <w:top w:val="nil"/>
              <w:left w:val="nil"/>
              <w:bottom w:val="nil"/>
              <w:right w:val="nil"/>
            </w:tcBorders>
            <w:shd w:val="clear" w:color="000000" w:fill="FFFFFF"/>
            <w:vAlign w:val="center"/>
          </w:tcPr>
          <w:p>
            <w:pPr>
              <w:widowControl/>
              <w:jc w:val="center"/>
              <w:rPr>
                <w:rFonts w:ascii="宋体" w:hAnsi="宋体" w:cs="宋体"/>
                <w:b/>
                <w:bCs/>
                <w:color w:val="000000"/>
                <w:kern w:val="0"/>
                <w:sz w:val="32"/>
                <w:szCs w:val="32"/>
              </w:rPr>
            </w:pPr>
            <w:bookmarkStart w:id="0" w:name="RANGE!A1:T36"/>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0"/>
          </w:p>
        </w:tc>
      </w:tr>
      <w:tr>
        <w:tblPrEx>
          <w:tblCellMar>
            <w:top w:w="0" w:type="dxa"/>
            <w:left w:w="108" w:type="dxa"/>
            <w:bottom w:w="0" w:type="dxa"/>
            <w:right w:w="108" w:type="dxa"/>
          </w:tblCellMar>
        </w:tblPrEx>
        <w:trPr>
          <w:trHeight w:val="624" w:hRule="atLeast"/>
        </w:trPr>
        <w:tc>
          <w:tcPr>
            <w:tcW w:w="14940" w:type="dxa"/>
            <w:gridSpan w:val="18"/>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624" w:hRule="atLeast"/>
        </w:trPr>
        <w:tc>
          <w:tcPr>
            <w:tcW w:w="14940" w:type="dxa"/>
            <w:gridSpan w:val="18"/>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285" w:hRule="atLeast"/>
        </w:trPr>
        <w:tc>
          <w:tcPr>
            <w:tcW w:w="31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11772" w:type="dxa"/>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021020辽河口第二小学-211122000</w:t>
            </w:r>
          </w:p>
        </w:tc>
      </w:tr>
      <w:tr>
        <w:tblPrEx>
          <w:tblCellMar>
            <w:top w:w="0" w:type="dxa"/>
            <w:left w:w="108" w:type="dxa"/>
            <w:bottom w:w="0" w:type="dxa"/>
            <w:right w:w="108" w:type="dxa"/>
          </w:tblCellMar>
        </w:tblPrEx>
        <w:trPr>
          <w:trHeight w:val="312" w:hRule="atLeast"/>
        </w:trPr>
        <w:tc>
          <w:tcPr>
            <w:tcW w:w="31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11772" w:type="dxa"/>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1371.51</w:t>
            </w:r>
          </w:p>
        </w:tc>
      </w:tr>
      <w:tr>
        <w:tblPrEx>
          <w:tblCellMar>
            <w:top w:w="0" w:type="dxa"/>
            <w:left w:w="108" w:type="dxa"/>
            <w:bottom w:w="0" w:type="dxa"/>
            <w:right w:w="108" w:type="dxa"/>
          </w:tblCellMar>
        </w:tblPrEx>
        <w:trPr>
          <w:trHeight w:val="312" w:hRule="atLeast"/>
        </w:trPr>
        <w:tc>
          <w:tcPr>
            <w:tcW w:w="31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11772" w:type="dxa"/>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1371.51</w:t>
            </w:r>
          </w:p>
        </w:tc>
      </w:tr>
      <w:tr>
        <w:tblPrEx>
          <w:tblCellMar>
            <w:top w:w="0" w:type="dxa"/>
            <w:left w:w="108" w:type="dxa"/>
            <w:bottom w:w="0" w:type="dxa"/>
            <w:right w:w="108" w:type="dxa"/>
          </w:tblCellMar>
        </w:tblPrEx>
        <w:trPr>
          <w:trHeight w:val="600" w:hRule="atLeast"/>
        </w:trPr>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6436" w:type="dxa"/>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14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160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6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436" w:type="dxa"/>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14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60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16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436" w:type="dxa"/>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校车运营费用</w:t>
            </w:r>
          </w:p>
        </w:tc>
        <w:tc>
          <w:tcPr>
            <w:tcW w:w="14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120.00</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50.00%</w:t>
            </w:r>
          </w:p>
        </w:tc>
        <w:tc>
          <w:tcPr>
            <w:tcW w:w="160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16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6.65</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436" w:type="dxa"/>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14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1536.47</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1536.46</w:t>
            </w:r>
          </w:p>
        </w:tc>
        <w:tc>
          <w:tcPr>
            <w:tcW w:w="1617"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0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16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r>
      <w:tr>
        <w:tblPrEx>
          <w:tblCellMar>
            <w:top w:w="0" w:type="dxa"/>
            <w:left w:w="108" w:type="dxa"/>
            <w:bottom w:w="0" w:type="dxa"/>
            <w:right w:w="108" w:type="dxa"/>
          </w:tblCellMar>
        </w:tblPrEx>
        <w:trPr>
          <w:trHeight w:val="312" w:hRule="atLeast"/>
        </w:trPr>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7051" w:type="dxa"/>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7259"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51" w:type="dxa"/>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盘山县羊圈小学2022年人员经费、公用经费以及校车运营费用</w:t>
            </w:r>
          </w:p>
        </w:tc>
        <w:tc>
          <w:tcPr>
            <w:tcW w:w="7259"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完成盘山县羊圈小学2022年人员经费、公用以及校车运营费用</w:t>
            </w:r>
          </w:p>
        </w:tc>
      </w:tr>
      <w:tr>
        <w:tblPrEx>
          <w:tblCellMar>
            <w:top w:w="0" w:type="dxa"/>
            <w:left w:w="108" w:type="dxa"/>
            <w:bottom w:w="0" w:type="dxa"/>
            <w:right w:w="108" w:type="dxa"/>
          </w:tblCellMar>
        </w:tblPrEx>
        <w:trPr>
          <w:trHeight w:val="285" w:hRule="atLeast"/>
        </w:trPr>
        <w:tc>
          <w:tcPr>
            <w:tcW w:w="63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12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61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61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61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84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61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61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61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4041"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3218"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84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6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6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6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3218"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6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统计信息公开及时性</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信息公开</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主管部门满意度</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上级主管部门满意度</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63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6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12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建立制度规范人事管理</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制度规范</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1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7681" w:type="dxa"/>
            <w:gridSpan w:val="11"/>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7259" w:type="dxa"/>
            <w:gridSpan w:val="7"/>
            <w:tcBorders>
              <w:top w:val="single" w:color="auto" w:sz="4" w:space="0"/>
              <w:left w:val="nil"/>
              <w:bottom w:val="single" w:color="auto" w:sz="4" w:space="0"/>
              <w:right w:val="single" w:color="000000" w:sz="4" w:space="0"/>
            </w:tcBorders>
            <w:shd w:val="clear" w:color="000000" w:fill="FFFFFF"/>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80.05</w:t>
            </w:r>
          </w:p>
        </w:tc>
      </w:tr>
    </w:tbl>
    <w:p>
      <w:pPr>
        <w:rPr>
          <w:sz w:val="32"/>
          <w:szCs w:val="32"/>
        </w:rPr>
      </w:pPr>
    </w:p>
    <w:p>
      <w:pPr>
        <w:rPr>
          <w:rFonts w:hint="eastAsia"/>
          <w:sz w:val="32"/>
          <w:szCs w:val="32"/>
        </w:rPr>
        <w:sectPr>
          <w:pgSz w:w="16838" w:h="11906" w:orient="landscape"/>
          <w:pgMar w:top="1418" w:right="1701" w:bottom="1418" w:left="1701" w:header="851" w:footer="992" w:gutter="0"/>
          <w:cols w:space="720" w:num="1"/>
          <w:docGrid w:type="lines" w:linePitch="312" w:charSpace="0"/>
        </w:sectPr>
      </w:pPr>
    </w:p>
    <w:p>
      <w:pPr>
        <w:rPr>
          <w:rFonts w:hint="eastAsia"/>
          <w:sz w:val="32"/>
          <w:szCs w:val="32"/>
        </w:rPr>
      </w:pPr>
      <w:r>
        <w:rPr>
          <w:sz w:val="32"/>
          <w:szCs w:val="32"/>
        </w:rPr>
        <w:drawing>
          <wp:anchor distT="0" distB="0" distL="114300" distR="114300" simplePos="0" relativeHeight="251659264" behindDoc="0" locked="0" layoutInCell="1" allowOverlap="1">
            <wp:simplePos x="0" y="0"/>
            <wp:positionH relativeFrom="column">
              <wp:posOffset>74295</wp:posOffset>
            </wp:positionH>
            <wp:positionV relativeFrom="paragraph">
              <wp:posOffset>115570</wp:posOffset>
            </wp:positionV>
            <wp:extent cx="8418195" cy="5442585"/>
            <wp:effectExtent l="0" t="0" r="1905" b="5715"/>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noChangeArrowheads="1"/>
                    </pic:cNvPicPr>
                  </pic:nvPicPr>
                  <pic:blipFill>
                    <a:blip r:embed="rId5" cstate="print"/>
                    <a:srcRect/>
                    <a:stretch>
                      <a:fillRect/>
                    </a:stretch>
                  </pic:blipFill>
                  <pic:spPr>
                    <a:xfrm>
                      <a:off x="0" y="0"/>
                      <a:ext cx="8418195" cy="5442585"/>
                    </a:xfrm>
                    <a:prstGeom prst="rect">
                      <a:avLst/>
                    </a:prstGeom>
                    <a:noFill/>
                    <a:ln w="9525">
                      <a:noFill/>
                      <a:miter lim="800000"/>
                      <a:headEnd/>
                      <a:tailEnd/>
                    </a:ln>
                    <a:effectLst/>
                  </pic:spPr>
                </pic:pic>
              </a:graphicData>
            </a:graphic>
          </wp:anchor>
        </w:drawing>
      </w:r>
    </w:p>
    <w:p>
      <w:pPr>
        <w:rPr>
          <w:rFonts w:hint="eastAsia"/>
          <w:sz w:val="32"/>
          <w:szCs w:val="32"/>
        </w:rPr>
      </w:pPr>
    </w:p>
    <w:p>
      <w:pPr>
        <w:rPr>
          <w:rFonts w:hint="eastAsia"/>
          <w:sz w:val="32"/>
          <w:szCs w:val="32"/>
        </w:rPr>
      </w:pPr>
    </w:p>
    <w:p>
      <w:pPr>
        <w:rPr>
          <w:rFonts w:hint="eastAsia"/>
          <w:sz w:val="32"/>
          <w:szCs w:val="32"/>
        </w:rPr>
      </w:pPr>
    </w:p>
    <w:p>
      <w:pPr>
        <w:rPr>
          <w:sz w:val="32"/>
          <w:szCs w:val="32"/>
        </w:rPr>
      </w:pP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pPr>
    <w:r>
      <w:fldChar w:fldCharType="begin"/>
    </w:r>
    <w:r>
      <w:instrText xml:space="preserve">PAGE  </w:instrText>
    </w:r>
    <w:r>
      <w:fldChar w:fldCharType="separate"/>
    </w:r>
    <w:r>
      <w:t>20</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A01A8"/>
    <w:multiLevelType w:val="singleLevel"/>
    <w:tmpl w:val="CF7A01A8"/>
    <w:lvl w:ilvl="0" w:tentative="0">
      <w:start w:val="1"/>
      <w:numFmt w:val="chineseCounting"/>
      <w:suff w:val="nothing"/>
      <w:lvlText w:val="%1、"/>
      <w:lvlJc w:val="left"/>
      <w:rPr>
        <w:rFonts w:hint="eastAsia"/>
      </w:rPr>
    </w:lvl>
  </w:abstractNum>
  <w:abstractNum w:abstractNumId="1">
    <w:nsid w:val="59ADCABA"/>
    <w:multiLevelType w:val="multilevel"/>
    <w:tmpl w:val="59ADCABA"/>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5B6626"/>
    <w:rsid w:val="00030A2B"/>
    <w:rsid w:val="00036894"/>
    <w:rsid w:val="001C5B40"/>
    <w:rsid w:val="00247117"/>
    <w:rsid w:val="004F7180"/>
    <w:rsid w:val="005B6626"/>
    <w:rsid w:val="008E4C17"/>
    <w:rsid w:val="00AE0CFF"/>
    <w:rsid w:val="00D23AC1"/>
    <w:rsid w:val="00EB5BAE"/>
    <w:rsid w:val="05CB65E5"/>
    <w:rsid w:val="05FA4E34"/>
    <w:rsid w:val="19471F5D"/>
    <w:rsid w:val="199022A2"/>
    <w:rsid w:val="3409539C"/>
    <w:rsid w:val="6D21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0"/>
    <w:pPr>
      <w:tabs>
        <w:tab w:val="center" w:pos="4153"/>
        <w:tab w:val="right" w:pos="8306"/>
      </w:tabs>
      <w:snapToGrid w:val="0"/>
      <w:jc w:val="left"/>
    </w:pPr>
    <w:rPr>
      <w:sz w:val="18"/>
      <w:szCs w:val="18"/>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
    <w:name w:val="普通表格1"/>
    <w:semiHidden/>
    <w:qFormat/>
    <w:uiPriority w:val="0"/>
    <w:tblPr>
      <w:tblCellMar>
        <w:top w:w="0" w:type="dxa"/>
        <w:left w:w="108" w:type="dxa"/>
        <w:bottom w:w="0" w:type="dxa"/>
        <w:right w:w="108" w:type="dxa"/>
      </w:tblCellMar>
    </w:tblPr>
  </w:style>
  <w:style w:type="character" w:customStyle="1" w:styleId="9">
    <w:name w:val="默认段落字体1"/>
    <w:semiHidden/>
    <w:qFormat/>
    <w:uiPriority w:val="0"/>
  </w:style>
  <w:style w:type="paragraph" w:customStyle="1" w:styleId="10">
    <w:name w:val="批注框文本1"/>
    <w:basedOn w:val="1"/>
    <w:qFormat/>
    <w:uiPriority w:val="0"/>
    <w:rPr>
      <w:sz w:val="18"/>
      <w:szCs w:val="18"/>
    </w:rPr>
  </w:style>
  <w:style w:type="character" w:customStyle="1" w:styleId="11">
    <w:name w:val="批注框文本 Char"/>
    <w:qFormat/>
    <w:uiPriority w:val="0"/>
    <w:rPr>
      <w:kern w:val="2"/>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qFormat/>
    <w:uiPriority w:val="0"/>
    <w:rPr>
      <w:kern w:val="2"/>
      <w:sz w:val="18"/>
      <w:szCs w:val="18"/>
    </w:rPr>
  </w:style>
  <w:style w:type="character" w:customStyle="1" w:styleId="15">
    <w:name w:val="页码1"/>
    <w:basedOn w:val="9"/>
    <w:qFormat/>
    <w:uiPriority w:val="0"/>
  </w:style>
  <w:style w:type="paragraph" w:customStyle="1" w:styleId="16">
    <w:name w:val="Char"/>
    <w:basedOn w:val="1"/>
    <w:qFormat/>
    <w:uiPriority w:val="0"/>
    <w:pPr>
      <w:widowControl/>
      <w:jc w:val="left"/>
    </w:pPr>
    <w:rPr>
      <w:rFonts w:ascii="Verdana" w:hAnsi="Verdana" w:eastAsia="仿宋_GB2312"/>
      <w:kern w:val="0"/>
      <w:sz w:val="28"/>
      <w:szCs w:val="20"/>
      <w:lang w:eastAsia="en-US"/>
    </w:rPr>
  </w:style>
  <w:style w:type="character" w:customStyle="1" w:styleId="17">
    <w:name w:val="font01"/>
    <w:basedOn w:val="9"/>
    <w:qFormat/>
    <w:uiPriority w:val="0"/>
    <w:rPr>
      <w:rFonts w:hint="eastAsia" w:ascii="宋体" w:hAnsi="宋体" w:eastAsia="宋体" w:cs="宋体"/>
      <w:color w:val="000000"/>
      <w:sz w:val="24"/>
      <w:szCs w:val="24"/>
      <w:u w:val="none"/>
    </w:rPr>
  </w:style>
  <w:style w:type="character" w:customStyle="1" w:styleId="18">
    <w:name w:val="页眉 Char1"/>
    <w:basedOn w:val="8"/>
    <w:link w:val="3"/>
    <w:qFormat/>
    <w:uiPriority w:val="0"/>
    <w:rPr>
      <w:kern w:val="2"/>
      <w:sz w:val="18"/>
      <w:szCs w:val="18"/>
    </w:rPr>
  </w:style>
  <w:style w:type="character" w:customStyle="1" w:styleId="19">
    <w:name w:val="页脚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Props1.xml><?xml version="1.0" encoding="utf-8"?>
<ds:datastoreItem xmlns:ds="http://schemas.openxmlformats.org/officeDocument/2006/customXml" ds:itemID="{B1CF1ADC-99B9-4348-97A6-B3944696407E}">
  <ds:schemaRefs/>
</ds:datastoreItem>
</file>

<file path=customXml/itemProps2.xml><?xml version="1.0" encoding="utf-8"?>
<ds:datastoreItem xmlns:ds="http://schemas.openxmlformats.org/officeDocument/2006/customXml" ds:itemID="{EAFCAD64-5D7E-44BC-9527-AC1585FBDB49}">
  <ds:schemaRefs/>
</ds:datastoreItem>
</file>

<file path=customXml/itemProps3.xml><?xml version="1.0" encoding="utf-8"?>
<ds:datastoreItem xmlns:ds="http://schemas.openxmlformats.org/officeDocument/2006/customXml" ds:itemID="{0874829A-5EA5-41A1-B3BD-BD76438168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6274</Words>
  <Characters>6988</Characters>
  <Lines>55</Lines>
  <Paragraphs>15</Paragraphs>
  <TotalTime>2</TotalTime>
  <ScaleCrop>false</ScaleCrop>
  <LinksUpToDate>false</LinksUpToDate>
  <CharactersWithSpaces>7186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2023-09-06T01:54:39Z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9A03DDE952CF4EAEACC1D410FC41F0DE_13</vt:lpwstr>
  </property>
</Properties>
</file>