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lang w:val="en-US" w:eastAsia="zh-CN"/>
        </w:rPr>
        <w:t>兴隆台区审计局</w:t>
      </w:r>
      <w:r>
        <w:rPr>
          <w:rFonts w:hint="eastAsia" w:ascii="宋体" w:hAnsi="宋体"/>
          <w:b/>
          <w:sz w:val="52"/>
          <w:szCs w:val="52"/>
          <w:lang w:eastAsia="zh-CN"/>
        </w:rPr>
        <w:t>2022</w:t>
      </w:r>
      <w:r>
        <w:rPr>
          <w:rFonts w:hint="eastAsia" w:ascii="宋体" w:hAnsi="宋体"/>
          <w:b/>
          <w:sz w:val="52"/>
          <w:szCs w:val="52"/>
        </w:rPr>
        <w:t>年度部门决算</w:t>
      </w:r>
    </w:p>
    <w:p>
      <w:pPr>
        <w:spacing w:line="540" w:lineRule="exact"/>
        <w:jc w:val="center"/>
        <w:rPr>
          <w:rFonts w:hint="default" w:ascii="Times New Roman" w:hAnsi="Times New Roman" w:cs="Times New Roman"/>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bookmarkStart w:id="0" w:name="_GoBack"/>
      <w:bookmarkEnd w:id="0"/>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部门</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2022</w:t>
      </w:r>
      <w:r>
        <w:rPr>
          <w:rFonts w:hint="eastAsia" w:ascii="黑体" w:hAnsi="黑体" w:eastAsia="黑体"/>
          <w:sz w:val="32"/>
          <w:szCs w:val="32"/>
        </w:rPr>
        <w:t>年度部门决算情况说明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eastAsia="zh-CN"/>
        </w:rPr>
        <w:t>2022</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rPr>
          <w:rFonts w:hint="eastAsia" w:ascii="黑体" w:hAnsi="黑体" w:eastAsia="黑体"/>
          <w:b/>
          <w:sz w:val="44"/>
          <w:szCs w:val="44"/>
          <w:u w:val="single"/>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部分    </w:t>
      </w:r>
      <w:r>
        <w:rPr>
          <w:rFonts w:hint="eastAsia" w:ascii="黑体" w:hAnsi="黑体" w:eastAsia="黑体"/>
          <w:sz w:val="32"/>
          <w:szCs w:val="32"/>
          <w:lang w:eastAsia="zh-CN"/>
        </w:rPr>
        <w:t>附件</w:t>
      </w:r>
    </w:p>
    <w:p>
      <w:pPr>
        <w:spacing w:line="540" w:lineRule="exact"/>
        <w:jc w:val="center"/>
        <w:rPr>
          <w:rFonts w:hint="eastAsia" w:ascii="宋体" w:hAnsi="宋体"/>
          <w:b/>
          <w:sz w:val="36"/>
          <w:szCs w:val="36"/>
        </w:rPr>
      </w:pPr>
      <w:r>
        <w:br w:type="page"/>
      </w:r>
      <w:r>
        <w:rPr>
          <w:rFonts w:hint="eastAsia" w:ascii="宋体" w:hAnsi="宋体"/>
          <w:b/>
          <w:sz w:val="36"/>
          <w:szCs w:val="36"/>
        </w:rPr>
        <w:t xml:space="preserve">第一部分 </w:t>
      </w:r>
      <w:r>
        <w:rPr>
          <w:rFonts w:hint="eastAsia" w:ascii="宋体" w:hAnsi="宋体"/>
          <w:b/>
          <w:sz w:val="36"/>
          <w:szCs w:val="36"/>
          <w:lang w:eastAsia="zh-CN"/>
        </w:rPr>
        <w:t>部门</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（一）主管全区审计工作。负责对区级财政收支和法律 、法规规定属于审计监督范围的财务收支的真实、合法和效益进行审计监督，对公共资金、国有资产、国有资源和领导干部履行经济责任情况实行审计全覆盖，对领导干部实行自然资源资产离任审计，对国家、省、市和区有关重大政策措施落实情况进行跟踪审计。对审计、专项审计调查和核查社会审计机构相关审计报告的结果承担责任，并负有督促被审计单位整改的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贯彻执行审计地方性法规和政府规章，负责监督并执行审计规章、国家审计准则和指南。制定并组织实施全区专业领域审计工作规划。对直接审计、调查和核查的事项依法进行审计评价，作出审计决定或提出审计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向区委审计委员会提出年度区级预算执行和其他财政收支情况审计报告。向区长提出年度区级预算执行和其他财政收支情况的审计结果报告。受区政府委托向区人大常委会提出区级预算执行和其他财政收支情况的审计工作报告、审计查出问题整改情况报告。向区委和区政府报告对其他事项的审计和专项审计调查情况及结果。依法向社会公布审计结果。向区委和区政府有关部门、街道办事处通报审计情况和审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直接审计下列事项，出具审计报告，在法定职权范围内作出审计决定，包括国家、省委省政府，市委市政府和区委、区政府有关重大政策措施贯彻落实情况；区级预算执行情况和其他财政收支，区委和区政府各部门（含直属单位）预算执行情况、决算草案和其他财政收支，区级财政转移支付资金；使用区级财政资金的事业单位和社会团体的财务收支；</w:t>
      </w:r>
      <w:r>
        <w:rPr>
          <w:rFonts w:hint="eastAsia" w:ascii="仿宋_GB2312" w:hAnsi="仿宋_GB2312" w:eastAsia="仿宋_GB2312" w:cs="仿宋_GB2312"/>
          <w:color w:val="auto"/>
          <w:sz w:val="32"/>
          <w:szCs w:val="32"/>
        </w:rPr>
        <w:t>自然资源管理、污染防治和生态保护与修复情况；区属国</w:t>
      </w:r>
      <w:r>
        <w:rPr>
          <w:rFonts w:hint="eastAsia" w:ascii="仿宋_GB2312" w:hAnsi="仿宋_GB2312" w:eastAsia="仿宋_GB2312" w:cs="仿宋_GB2312"/>
          <w:sz w:val="32"/>
          <w:szCs w:val="32"/>
        </w:rPr>
        <w:t>有企业和金融机构、区政府规定的区国有资本占控股或主导地位的企业和金融机构境内外资产、负债和损益，区驻外非经营性机构的财务收支；有关社会保障基金、社会捐赠资金和其他基金、资金的财务收支；根据审计署、审计厅授权审计国际组织和外国政府援助、贷款项目；法律法规规定的其他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（五）按规定对乡科级党政主要领导干部及其他单位主要负责人实施经济责任审计和自然资源资产离任审计。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（六）组织实施对国家、省、市和区财经法律法规、规章、政策和宏观调控措施执行情况、财政预算管理及国有资产管理使用等与国家、省、市和区财政收支有关的特定事项进行专项审计调查。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（七）依法检查审计决定执行情况，督促整改审计查出的问题，依法办理被审计单位对审计决定提请行政复议、行政诉讼或市、区政府裁决中的有关事项，协助配合有关部门查处相关重大案件。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（八）指导和监督内部审计工作，核查社会审计机构对依法属于审计监督对象的单位出具的相关审计报告。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（九）组织开展全区审计领域的对外交流与合作，指导和推广信息技术在审计领域的应用。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（十）完成区委、区政府交办的其他任务。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职能转变。进一步完善审计管理体制，加强全区审计工作统筹，明晰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pPr>
        <w:numPr>
          <w:ilvl w:val="0"/>
          <w:numId w:val="2"/>
        </w:numPr>
        <w:spacing w:line="540" w:lineRule="exact"/>
        <w:ind w:firstLine="640" w:firstLineChars="200"/>
        <w:jc w:val="left"/>
        <w:rPr>
          <w:rFonts w:ascii="黑体" w:eastAsia="黑体"/>
          <w:sz w:val="32"/>
          <w:szCs w:val="32"/>
        </w:rPr>
      </w:pPr>
      <w:r>
        <w:rPr>
          <w:rFonts w:ascii="黑体" w:eastAsia="黑体"/>
          <w:sz w:val="32"/>
          <w:szCs w:val="32"/>
        </w:rPr>
        <w:t>机构设置</w:t>
      </w:r>
    </w:p>
    <w:p>
      <w:pPr>
        <w:spacing w:line="540" w:lineRule="exact"/>
        <w:jc w:val="left"/>
        <w:rPr>
          <w:rFonts w:hint="eastAsia" w:ascii="黑体" w:eastAsia="黑体"/>
          <w:sz w:val="32"/>
          <w:szCs w:val="32"/>
        </w:rPr>
      </w:pPr>
      <w:r>
        <w:rPr>
          <w:rFonts w:hint="eastAsia" w:ascii="黑体" w:eastAsia="黑体"/>
          <w:sz w:val="32"/>
          <w:szCs w:val="32"/>
        </w:rPr>
        <w:t xml:space="preserve">    </w:t>
      </w:r>
      <w:r>
        <w:rPr>
          <w:rFonts w:hint="eastAsia" w:ascii="仿宋" w:hAnsi="仿宋" w:eastAsia="仿宋"/>
          <w:sz w:val="32"/>
          <w:szCs w:val="32"/>
        </w:rPr>
        <w:t>根据本部门主要职责，内设机构如下：</w:t>
      </w:r>
    </w:p>
    <w:p>
      <w:pPr>
        <w:keepNext w:val="0"/>
        <w:keepLines w:val="0"/>
        <w:pageBreakBefore w:val="0"/>
        <w:widowControl/>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名称：综合办公室             </w:t>
      </w:r>
    </w:p>
    <w:p>
      <w:pPr>
        <w:keepNext w:val="0"/>
        <w:keepLines w:val="0"/>
        <w:pageBreakBefore w:val="0"/>
        <w:kinsoku/>
        <w:wordWrap/>
        <w:overflowPunct/>
        <w:topLinePunct w:val="0"/>
        <w:autoSpaceDE/>
        <w:autoSpaceDN/>
        <w:bidi w:val="0"/>
        <w:adjustRightInd/>
        <w:spacing w:line="600" w:lineRule="exact"/>
        <w:ind w:firstLine="680" w:firstLineChars="200"/>
        <w:textAlignment w:val="auto"/>
        <w:rPr>
          <w:rFonts w:hint="eastAsia" w:ascii="FZFSK--GBK1-0" w:eastAsia="FZFSK--GBK1-0" w:cs="FZFSK--GBK1-0"/>
          <w:kern w:val="0"/>
          <w:sz w:val="32"/>
          <w:szCs w:val="32"/>
          <w:lang w:eastAsia="zh-CN"/>
        </w:rPr>
      </w:pPr>
      <w:r>
        <w:rPr>
          <w:rFonts w:hint="eastAsia" w:ascii="仿宋_GB2312" w:hAnsi="仿宋_GB2312" w:eastAsia="仿宋_GB2312" w:cs="仿宋_GB2312"/>
          <w:sz w:val="34"/>
          <w:szCs w:val="34"/>
          <w:lang w:eastAsia="zh-CN"/>
        </w:rPr>
        <w:t>负责审计局机关日常管理工作，保证正常运转</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具体职责：档案文书管理；起草局内文件；机关经费管理使用及财政预算执行审计、经济责任审计、国企审计和重大政策跟踪审计及</w:t>
      </w:r>
      <w:r>
        <w:rPr>
          <w:rFonts w:hint="eastAsia" w:ascii="仿宋_GB2312" w:hAnsi="仿宋_GB2312" w:eastAsia="仿宋_GB2312" w:cs="仿宋_GB2312"/>
          <w:sz w:val="34"/>
          <w:szCs w:val="34"/>
        </w:rPr>
        <w:t>工作汇报、文件审批等程序</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负责协调</w:t>
      </w:r>
      <w:r>
        <w:rPr>
          <w:rFonts w:hint="eastAsia" w:ascii="仿宋_GB2312" w:hAnsi="仿宋_GB2312" w:eastAsia="仿宋_GB2312" w:cs="仿宋_GB2312"/>
          <w:sz w:val="34"/>
          <w:szCs w:val="34"/>
          <w:lang w:eastAsia="zh-CN"/>
        </w:rPr>
        <w:t>岗位</w:t>
      </w:r>
      <w:r>
        <w:rPr>
          <w:rFonts w:hint="eastAsia" w:ascii="仿宋_GB2312" w:hAnsi="仿宋_GB2312" w:eastAsia="仿宋_GB2312" w:cs="仿宋_GB2312"/>
          <w:sz w:val="34"/>
          <w:szCs w:val="34"/>
        </w:rPr>
        <w:t>之间、本部门与相关部门</w:t>
      </w:r>
      <w:r>
        <w:rPr>
          <w:rFonts w:hint="eastAsia" w:ascii="仿宋_GB2312" w:hAnsi="仿宋_GB2312" w:eastAsia="仿宋_GB2312" w:cs="仿宋_GB2312"/>
          <w:sz w:val="34"/>
          <w:szCs w:val="34"/>
          <w:lang w:eastAsia="zh-CN"/>
        </w:rPr>
        <w:t>协调各项工作</w:t>
      </w:r>
      <w:r>
        <w:rPr>
          <w:rFonts w:hint="eastAsia" w:ascii="仿宋_GB2312" w:hAnsi="仿宋_GB2312" w:eastAsia="仿宋_GB2312" w:cs="仿宋_GB2312"/>
          <w:sz w:val="34"/>
          <w:szCs w:val="34"/>
          <w:lang w:val="en-US" w:eastAsia="zh-CN"/>
        </w:rPr>
        <w:t>。</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pPr>
        <w:spacing w:line="540" w:lineRule="exact"/>
        <w:ind w:firstLine="640"/>
        <w:jc w:val="left"/>
        <w:rPr>
          <w:rFonts w:hint="eastAsia" w:ascii="仿宋" w:hAnsi="仿宋" w:eastAsia="仿宋" w:cs="仿宋"/>
          <w:sz w:val="32"/>
          <w:lang w:eastAsia="zh-CN"/>
        </w:rPr>
      </w:pPr>
      <w:r>
        <w:rPr>
          <w:rFonts w:hint="eastAsia" w:ascii="仿宋" w:hAnsi="仿宋" w:eastAsia="仿宋" w:cs="仿宋"/>
          <w:sz w:val="32"/>
          <w:lang w:val="en-US" w:eastAsia="zh-CN"/>
        </w:rPr>
        <w:t>无</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三、部门</w:t>
      </w:r>
      <w:r>
        <w:rPr>
          <w:rFonts w:hint="eastAsia" w:ascii="黑体" w:eastAsia="黑体"/>
          <w:sz w:val="32"/>
          <w:szCs w:val="32"/>
          <w:lang w:val="en-US" w:eastAsia="zh-CN"/>
        </w:rPr>
        <w:t>决</w:t>
      </w:r>
      <w:r>
        <w:rPr>
          <w:rFonts w:hint="eastAsia" w:ascii="黑体" w:eastAsia="黑体"/>
          <w:sz w:val="32"/>
          <w:szCs w:val="32"/>
        </w:rPr>
        <w:t>算单位构成</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纳入盘锦市</w:t>
      </w:r>
      <w:r>
        <w:rPr>
          <w:rFonts w:hint="eastAsia" w:ascii="仿宋" w:hAnsi="仿宋" w:eastAsia="仿宋" w:cs="仿宋"/>
          <w:sz w:val="32"/>
          <w:lang w:val="en-US" w:eastAsia="zh-CN"/>
        </w:rPr>
        <w:t>兴隆台区审计局</w:t>
      </w:r>
      <w:r>
        <w:rPr>
          <w:rFonts w:hint="eastAsia" w:ascii="仿宋" w:hAnsi="仿宋" w:eastAsia="仿宋" w:cs="仿宋"/>
          <w:sz w:val="32"/>
          <w:lang w:eastAsia="zh-CN"/>
        </w:rPr>
        <w:t>2022</w:t>
      </w:r>
      <w:r>
        <w:rPr>
          <w:rFonts w:hint="eastAsia" w:ascii="仿宋" w:hAnsi="仿宋" w:eastAsia="仿宋" w:cs="仿宋"/>
          <w:sz w:val="32"/>
        </w:rPr>
        <w:t>年度部门</w:t>
      </w:r>
      <w:r>
        <w:rPr>
          <w:rFonts w:hint="eastAsia" w:ascii="仿宋" w:hAnsi="仿宋" w:eastAsia="仿宋" w:cs="仿宋"/>
          <w:sz w:val="32"/>
          <w:lang w:val="en-US" w:eastAsia="zh-CN"/>
        </w:rPr>
        <w:t>决</w:t>
      </w:r>
      <w:r>
        <w:rPr>
          <w:rFonts w:hint="eastAsia" w:ascii="仿宋" w:hAnsi="仿宋" w:eastAsia="仿宋" w:cs="仿宋"/>
          <w:sz w:val="32"/>
        </w:rPr>
        <w:t>算编制范围的二级</w:t>
      </w:r>
      <w:r>
        <w:rPr>
          <w:rFonts w:hint="eastAsia" w:ascii="仿宋" w:hAnsi="仿宋" w:eastAsia="仿宋" w:cs="仿宋"/>
          <w:sz w:val="32"/>
          <w:lang w:eastAsia="zh-CN"/>
        </w:rPr>
        <w:t>预算</w:t>
      </w:r>
      <w:r>
        <w:rPr>
          <w:rFonts w:hint="eastAsia" w:ascii="仿宋" w:hAnsi="仿宋" w:eastAsia="仿宋" w:cs="仿宋"/>
          <w:sz w:val="32"/>
        </w:rPr>
        <w:t>单位包括：</w:t>
      </w:r>
    </w:p>
    <w:p>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无</w:t>
      </w:r>
    </w:p>
    <w:p>
      <w:pPr>
        <w:spacing w:line="540" w:lineRule="exact"/>
        <w:ind w:firstLine="723" w:firstLineChars="200"/>
        <w:jc w:val="center"/>
        <w:rPr>
          <w:rFonts w:hint="eastAsia" w:ascii="宋体" w:hAnsi="宋体"/>
          <w:b/>
          <w:sz w:val="36"/>
          <w:szCs w:val="36"/>
        </w:rPr>
      </w:pP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b/>
          <w:sz w:val="36"/>
          <w:szCs w:val="36"/>
          <w:lang w:eastAsia="zh-CN"/>
        </w:rPr>
        <w:t>2022</w:t>
      </w:r>
      <w:r>
        <w:rPr>
          <w:rFonts w:hint="eastAsia" w:ascii="宋体" w:hAnsi="宋体"/>
          <w:b/>
          <w:sz w:val="36"/>
          <w:szCs w:val="36"/>
        </w:rPr>
        <w:t>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129.51</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129.51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129.51</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11.3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10</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人员变动</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129.51</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108.43</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84</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103.21</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0.24</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12.8</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13.26</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11</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审计事务</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11.3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10</w:t>
      </w:r>
      <w:r>
        <w:rPr>
          <w:rFonts w:hint="eastAsia" w:ascii="仿宋_GB2312" w:hAnsi="宋体" w:eastAsia="仿宋_GB2312"/>
          <w:sz w:val="32"/>
          <w:szCs w:val="32"/>
        </w:rPr>
        <w:t>%，主要原因：</w:t>
      </w:r>
      <w:r>
        <w:rPr>
          <w:rFonts w:hint="eastAsia" w:ascii="仿宋_GB2312" w:hAnsi="宋体" w:eastAsia="仿宋_GB2312" w:cs="Times New Roman"/>
          <w:sz w:val="32"/>
          <w:szCs w:val="32"/>
          <w:lang w:val="en-US" w:eastAsia="zh-CN"/>
        </w:rPr>
        <w:t>人员变动</w:t>
      </w:r>
      <w:r>
        <w:rPr>
          <w:rFonts w:hint="eastAsia" w:ascii="仿宋_GB2312" w:hAnsi="宋体" w:eastAsia="仿宋_GB2312" w:cs="Times New Roman"/>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129.51</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116.25</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13.26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11.3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10</w:t>
      </w:r>
      <w:r>
        <w:rPr>
          <w:rFonts w:hint="eastAsia" w:ascii="仿宋_GB2312" w:hAnsi="宋体" w:eastAsia="仿宋_GB2312"/>
          <w:sz w:val="32"/>
          <w:szCs w:val="32"/>
        </w:rPr>
        <w:t>%，主要原因：</w:t>
      </w:r>
      <w:r>
        <w:rPr>
          <w:rFonts w:hint="eastAsia" w:ascii="仿宋_GB2312" w:hAnsi="宋体" w:eastAsia="仿宋_GB2312" w:cs="Times New Roman"/>
          <w:sz w:val="32"/>
          <w:szCs w:val="32"/>
          <w:lang w:val="en-US" w:eastAsia="zh-CN"/>
        </w:rPr>
        <w:t>人员变动</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2022</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129.51</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108.44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84</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hAnsi="宋体" w:eastAsia="仿宋_GB2312"/>
          <w:sz w:val="32"/>
          <w:szCs w:val="32"/>
          <w:lang w:val="en-US" w:eastAsia="zh-CN"/>
        </w:rPr>
        <w:t>社会保障和就业支出8.77万元，占7%；卫生健康支出3.77万元，占3%；住房保障支出8.53万元，占7%</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一般公共服务支出</w:t>
      </w:r>
      <w:r>
        <w:rPr>
          <w:rFonts w:hint="eastAsia" w:ascii="仿宋_GB2312" w:hAnsi="宋体" w:eastAsia="仿宋_GB2312"/>
          <w:sz w:val="32"/>
          <w:szCs w:val="32"/>
          <w:lang w:val="en-US" w:eastAsia="zh-CN"/>
        </w:rPr>
        <w:t>108.44</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类）财政事务（款）</w:t>
      </w:r>
      <w:r>
        <w:rPr>
          <w:rFonts w:hint="eastAsia" w:ascii="仿宋_GB2312" w:hAnsi="宋体" w:eastAsia="仿宋_GB2312"/>
          <w:sz w:val="32"/>
          <w:szCs w:val="32"/>
        </w:rPr>
        <w:t>行政运行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项）95.18</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审计事务</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行政运行95.18万元，主要是工资等支出，完成年初预算的100%</w:t>
      </w:r>
      <w:r>
        <w:rPr>
          <w:rFonts w:hint="eastAsia" w:ascii="仿宋_GB2312" w:hAnsi="宋体" w:eastAsia="仿宋_GB2312"/>
          <w:sz w:val="32"/>
          <w:szCs w:val="32"/>
          <w:lang w:eastAsia="zh-CN"/>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万元，完成</w:t>
      </w:r>
      <w:r>
        <w:rPr>
          <w:rFonts w:hint="eastAsia" w:ascii="仿宋_GB2312" w:hAnsi="宋体" w:eastAsia="仿宋_GB2312"/>
          <w:sz w:val="32"/>
          <w:szCs w:val="32"/>
          <w:lang w:eastAsia="zh-CN"/>
        </w:rPr>
        <w:t>全年</w:t>
      </w:r>
      <w:r>
        <w:rPr>
          <w:rFonts w:hint="eastAsia" w:ascii="仿宋_GB2312" w:hAnsi="宋体" w:eastAsia="仿宋_GB2312"/>
          <w:sz w:val="32"/>
          <w:szCs w:val="32"/>
        </w:rPr>
        <w:t>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129.51</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103.45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12.8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2022年机关运行经费支出</w:t>
      </w:r>
      <w:r>
        <w:rPr>
          <w:rFonts w:hint="eastAsia" w:ascii="仿宋_GB2312" w:hAnsi="黑体" w:eastAsia="仿宋_GB2312"/>
          <w:sz w:val="32"/>
          <w:szCs w:val="32"/>
          <w:lang w:val="en-US" w:eastAsia="zh-CN"/>
        </w:rPr>
        <w:t>12.8</w:t>
      </w:r>
      <w:r>
        <w:rPr>
          <w:rFonts w:hint="eastAsia" w:ascii="仿宋_GB2312" w:hAnsi="黑体" w:eastAsia="仿宋_GB2312"/>
          <w:sz w:val="32"/>
          <w:szCs w:val="32"/>
          <w:lang w:eastAsia="zh-CN"/>
        </w:rPr>
        <w:t>万元（与部门决算中行政单位和参照公务员法管理事业单位财政拨款基本支出中公用经费之和一致），</w:t>
      </w:r>
      <w:r>
        <w:rPr>
          <w:rFonts w:hint="eastAsia" w:ascii="仿宋_GB2312" w:hAnsi="黑体" w:eastAsia="仿宋_GB2312"/>
          <w:sz w:val="32"/>
          <w:szCs w:val="32"/>
        </w:rPr>
        <w:t>比上年增加</w:t>
      </w:r>
      <w:r>
        <w:rPr>
          <w:rFonts w:hint="eastAsia" w:ascii="仿宋_GB2312" w:hAnsi="黑体" w:eastAsia="仿宋_GB2312"/>
          <w:sz w:val="32"/>
          <w:szCs w:val="32"/>
          <w:lang w:val="en-US" w:eastAsia="zh-CN"/>
        </w:rPr>
        <w:t>0.55</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5</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人员变动</w:t>
      </w:r>
      <w:r>
        <w:rPr>
          <w:rFonts w:hint="eastAsia" w:ascii="仿宋_GB2312" w:hAnsi="黑体"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2022</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p>
    <w:p>
      <w:pPr>
        <w:keepNext w:val="0"/>
        <w:keepLines w:val="0"/>
        <w:widowControl/>
        <w:suppressLineNumbers w:val="0"/>
        <w:spacing w:before="0" w:beforeAutospacing="0" w:after="0" w:afterAutospacing="0" w:line="540" w:lineRule="exact"/>
        <w:ind w:left="0" w:right="0" w:firstLine="643" w:firstLineChars="200"/>
        <w:jc w:val="left"/>
        <w:rPr>
          <w:color w:val="auto"/>
          <w:highlight w:val="none"/>
        </w:rPr>
      </w:pPr>
      <w:r>
        <w:rPr>
          <w:rFonts w:ascii="楷体_GB2312" w:hAnsi="宋体" w:eastAsia="楷体_GB2312" w:cs="楷体_GB2312"/>
          <w:b/>
          <w:color w:val="auto"/>
          <w:kern w:val="2"/>
          <w:sz w:val="32"/>
          <w:szCs w:val="32"/>
          <w:highlight w:val="none"/>
          <w:shd w:val="clear" w:color="auto" w:fill="auto"/>
          <w:lang w:val="en-US" w:eastAsia="zh-CN" w:bidi="en-AU"/>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2"/>
          <w:sz w:val="32"/>
          <w:szCs w:val="32"/>
          <w:highlight w:val="none"/>
          <w:shd w:val="clear" w:color="auto" w:fill="auto"/>
          <w:lang w:val="en-US" w:eastAsia="zh-CN" w:bidi="en-AU"/>
        </w:rPr>
        <w:t>1.绩效评价工作开展情况。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lang w:val="en-US" w:eastAsia="zh-CN" w:bidi="en-AU"/>
        </w:rPr>
      </w:pPr>
      <w:r>
        <w:rPr>
          <w:rFonts w:ascii="仿宋_GB2312" w:hAnsi="宋体" w:eastAsia="仿宋_GB2312" w:cs="仿宋_GB2312"/>
          <w:color w:val="auto"/>
          <w:kern w:val="2"/>
          <w:sz w:val="32"/>
          <w:szCs w:val="32"/>
          <w:highlight w:val="none"/>
          <w:shd w:val="clear" w:color="auto" w:fill="auto"/>
          <w:lang w:val="en-US" w:eastAsia="zh-CN" w:bidi="en-AU"/>
        </w:rPr>
        <w:t>根据预算</w:t>
      </w:r>
      <w:r>
        <w:rPr>
          <w:rFonts w:hint="eastAsia" w:hAnsi="宋体" w:eastAsia="仿宋_GB2312" w:cs="仿宋_GB2312"/>
          <w:color w:val="auto"/>
          <w:kern w:val="2"/>
          <w:sz w:val="32"/>
          <w:szCs w:val="32"/>
          <w:highlight w:val="none"/>
          <w:shd w:val="clear" w:color="auto" w:fill="auto"/>
          <w:lang w:val="en-US" w:eastAsia="zh-CN" w:bidi="en-AU"/>
        </w:rPr>
        <w:t>绩效</w:t>
      </w:r>
      <w:r>
        <w:rPr>
          <w:rFonts w:ascii="仿宋_GB2312" w:hAnsi="宋体" w:eastAsia="仿宋_GB2312" w:cs="仿宋_GB2312"/>
          <w:color w:val="auto"/>
          <w:kern w:val="2"/>
          <w:sz w:val="32"/>
          <w:szCs w:val="32"/>
          <w:highlight w:val="none"/>
          <w:shd w:val="clear" w:color="auto" w:fill="auto"/>
          <w:lang w:val="en-US" w:eastAsia="zh-CN" w:bidi="en-AU"/>
        </w:rPr>
        <w:t>管理要求，</w:t>
      </w:r>
      <w:r>
        <w:rPr>
          <w:rFonts w:hint="eastAsia" w:ascii="仿宋_GB2312" w:hAnsi="宋体" w:eastAsia="仿宋_GB2312" w:cs="仿宋_GB2312"/>
          <w:color w:val="auto"/>
          <w:kern w:val="2"/>
          <w:sz w:val="32"/>
          <w:szCs w:val="32"/>
          <w:highlight w:val="none"/>
          <w:shd w:val="clear" w:color="auto" w:fill="auto"/>
          <w:lang w:val="en-US" w:eastAsia="zh-CN" w:bidi="en-AU"/>
        </w:rPr>
        <w:t>本部门</w:t>
      </w:r>
      <w:r>
        <w:rPr>
          <w:rFonts w:ascii="仿宋_GB2312"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宋体"/>
          <w:color w:val="auto"/>
          <w:kern w:val="2"/>
          <w:sz w:val="32"/>
          <w:szCs w:val="32"/>
          <w:highlight w:val="none"/>
          <w:shd w:val="clear" w:color="auto" w:fill="auto"/>
          <w:lang w:val="en-US" w:eastAsia="zh-CN" w:bidi="en-AU"/>
        </w:rPr>
        <w:t>2022</w:t>
      </w:r>
      <w:r>
        <w:rPr>
          <w:rFonts w:hint="eastAsia" w:ascii="仿宋_GB2312" w:hAnsi="宋体" w:eastAsia="仿宋_GB2312" w:cs="仿宋_GB2312"/>
          <w:color w:val="auto"/>
          <w:kern w:val="2"/>
          <w:sz w:val="32"/>
          <w:szCs w:val="32"/>
          <w:highlight w:val="none"/>
          <w:shd w:val="clear" w:color="auto" w:fill="auto"/>
          <w:lang w:val="en-US" w:eastAsia="zh-CN" w:bidi="en-AU"/>
        </w:rPr>
        <w:t>年度预算项目支出全面开展绩效自评，共涉及预算支出项目1个，涉及资金40万元（其中：一般公共预算资金40万元，政府性基金预算资金0万元，国有资本经营预算资金0万元），自评覆盖率（开展绩效自评的项目数</w:t>
      </w:r>
      <w:r>
        <w:rPr>
          <w:rFonts w:hint="eastAsia" w:ascii="仿宋_GB2312" w:hAnsi="宋体" w:eastAsia="仿宋_GB2312" w:cs="宋体"/>
          <w:color w:val="auto"/>
          <w:kern w:val="2"/>
          <w:sz w:val="32"/>
          <w:szCs w:val="32"/>
          <w:highlight w:val="none"/>
          <w:shd w:val="clear" w:color="auto" w:fill="auto"/>
          <w:lang w:val="en-US" w:eastAsia="zh-CN" w:bidi="en-AU"/>
        </w:rPr>
        <w:t>/年初批复绩效目标的项目数*100%）达到</w:t>
      </w:r>
      <w:r>
        <w:rPr>
          <w:rFonts w:hint="eastAsia" w:ascii="仿宋_GB2312" w:hAnsi="宋体" w:eastAsia="仿宋_GB2312" w:cs="仿宋_GB2312"/>
          <w:color w:val="auto"/>
          <w:kern w:val="2"/>
          <w:sz w:val="32"/>
          <w:szCs w:val="32"/>
          <w:highlight w:val="none"/>
          <w:shd w:val="clear" w:color="auto" w:fill="auto"/>
          <w:lang w:val="en-US" w:eastAsia="zh-CN" w:bidi="en-AU"/>
        </w:rPr>
        <w:t>100</w:t>
      </w:r>
      <w:r>
        <w:rPr>
          <w:rFonts w:hint="eastAsia" w:ascii="仿宋_GB2312" w:hAnsi="宋体" w:eastAsia="仿宋_GB2312" w:cs="宋体"/>
          <w:color w:val="auto"/>
          <w:kern w:val="2"/>
          <w:sz w:val="32"/>
          <w:szCs w:val="32"/>
          <w:highlight w:val="none"/>
          <w:shd w:val="clear" w:color="auto" w:fill="auto"/>
          <w:lang w:val="en-US" w:eastAsia="zh-CN" w:bidi="en-AU"/>
        </w:rPr>
        <w:t>%，自评平均分（开展绩效自评的项目分数总和/开展绩效自评的项目数）</w:t>
      </w:r>
      <w:r>
        <w:rPr>
          <w:rFonts w:hint="eastAsia" w:ascii="仿宋_GB2312" w:hAnsi="宋体" w:eastAsia="仿宋_GB2312" w:cs="仿宋_GB2312"/>
          <w:color w:val="auto"/>
          <w:kern w:val="2"/>
          <w:sz w:val="32"/>
          <w:szCs w:val="32"/>
          <w:highlight w:val="none"/>
          <w:shd w:val="clear" w:color="auto" w:fill="auto"/>
          <w:lang w:val="en-US" w:eastAsia="zh-CN" w:bidi="en-AU"/>
        </w:rPr>
        <w:t>100分。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auto"/>
          <w:highlight w:val="none"/>
        </w:rPr>
      </w:pPr>
      <w:r>
        <w:rPr>
          <w:rFonts w:hint="eastAsia"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仿宋_GB2312"/>
          <w:color w:val="auto"/>
          <w:kern w:val="2"/>
          <w:sz w:val="32"/>
          <w:szCs w:val="32"/>
          <w:highlight w:val="none"/>
          <w:shd w:val="clear" w:color="auto" w:fill="auto"/>
          <w:lang w:val="en-US" w:eastAsia="zh-CN" w:bidi="en-AU"/>
        </w:rPr>
        <w:t>1</w:t>
      </w:r>
      <w:r>
        <w:rPr>
          <w:rFonts w:hint="eastAsia" w:hAnsi="宋体" w:eastAsia="仿宋_GB2312" w:cs="仿宋_GB2312"/>
          <w:color w:val="auto"/>
          <w:kern w:val="2"/>
          <w:sz w:val="32"/>
          <w:szCs w:val="32"/>
          <w:highlight w:val="none"/>
          <w:shd w:val="clear" w:color="auto" w:fill="auto"/>
          <w:lang w:val="en-US" w:eastAsia="zh-CN" w:bidi="en-AU"/>
        </w:rPr>
        <w:t>个单位开展整体绩效自评，涉及资金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en-AU"/>
        </w:rPr>
        <w:t>130.56</w:t>
      </w:r>
      <w:r>
        <w:rPr>
          <w:rFonts w:hint="eastAsia" w:hAnsi="宋体" w:eastAsia="仿宋_GB2312" w:cs="仿宋_GB2312"/>
          <w:color w:val="auto"/>
          <w:kern w:val="2"/>
          <w:sz w:val="32"/>
          <w:szCs w:val="32"/>
          <w:highlight w:val="none"/>
          <w:shd w:val="clear" w:color="auto" w:fill="auto"/>
          <w:lang w:val="en-US" w:eastAsia="zh-CN" w:bidi="en-AU"/>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en-AU"/>
        </w:rPr>
        <w:t>100</w:t>
      </w:r>
      <w:r>
        <w:rPr>
          <w:rFonts w:hint="eastAsia" w:hAnsi="宋体" w:eastAsia="仿宋_GB2312" w:cs="仿宋_GB2312"/>
          <w:color w:val="auto"/>
          <w:kern w:val="2"/>
          <w:sz w:val="32"/>
          <w:szCs w:val="32"/>
          <w:highlight w:val="none"/>
          <w:shd w:val="clear" w:color="auto" w:fill="auto"/>
          <w:lang w:val="en-US" w:eastAsia="zh-CN" w:bidi="en-AU"/>
        </w:rPr>
        <w:t>分。《部门（单位）整体绩效自评表》见附件。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hAnsi="宋体" w:eastAsia="仿宋_GB2312" w:cs="仿宋_GB2312"/>
          <w:color w:val="auto"/>
          <w:kern w:val="2"/>
          <w:sz w:val="32"/>
          <w:szCs w:val="32"/>
          <w:highlight w:val="none"/>
          <w:lang w:val="en-AU" w:eastAsia="zh-CN" w:bidi="en-AU"/>
        </w:rPr>
      </w:pPr>
      <w:r>
        <w:rPr>
          <w:rFonts w:hint="eastAsia" w:hAnsi="宋体" w:eastAsia="仿宋_GB2312" w:cs="仿宋_GB2312"/>
          <w:color w:val="auto"/>
          <w:kern w:val="2"/>
          <w:sz w:val="32"/>
          <w:szCs w:val="32"/>
          <w:highlight w:val="none"/>
          <w:shd w:val="clear" w:color="auto" w:fill="auto"/>
          <w:lang w:val="en-US" w:eastAsia="zh-CN" w:bidi="en-AU"/>
        </w:rPr>
        <w:t>本部门</w:t>
      </w:r>
      <w:r>
        <w:rPr>
          <w:rFonts w:hint="eastAsia" w:ascii="仿宋" w:hAnsi="仿宋" w:eastAsia="仿宋"/>
          <w:sz w:val="32"/>
          <w:highlight w:val="none"/>
          <w:shd w:val="clear" w:color="auto" w:fill="auto"/>
        </w:rPr>
        <w:t>组织对</w:t>
      </w:r>
      <w:r>
        <w:rPr>
          <w:rFonts w:hint="eastAsia" w:ascii="仿宋" w:hAnsi="仿宋" w:eastAsia="仿宋" w:cs="Times New Roman"/>
          <w:sz w:val="32"/>
          <w:highlight w:val="none"/>
          <w:shd w:val="clear" w:color="auto" w:fill="auto"/>
          <w:lang w:val="en-US" w:eastAsia="zh-CN"/>
        </w:rPr>
        <w:t>重大政策措施贯彻落实情况跟踪审计服务费</w:t>
      </w:r>
      <w:r>
        <w:rPr>
          <w:rFonts w:hint="eastAsia" w:ascii="仿宋" w:hAnsi="仿宋" w:eastAsia="仿宋"/>
          <w:sz w:val="32"/>
          <w:highlight w:val="none"/>
          <w:shd w:val="clear" w:color="auto" w:fill="auto"/>
        </w:rPr>
        <w:t>项目开展了部门评价</w:t>
      </w:r>
      <w:r>
        <w:rPr>
          <w:rFonts w:hint="eastAsia" w:ascii="仿宋" w:hAnsi="仿宋" w:eastAsia="仿宋"/>
          <w:sz w:val="32"/>
          <w:highlight w:val="none"/>
          <w:shd w:val="clear" w:color="auto" w:fill="auto"/>
          <w:lang w:eastAsia="zh-CN"/>
        </w:rPr>
        <w:t>，</w:t>
      </w:r>
      <w:r>
        <w:rPr>
          <w:rFonts w:hint="eastAsia" w:hAnsi="宋体" w:eastAsia="仿宋_GB2312" w:cs="仿宋_GB2312"/>
          <w:color w:val="auto"/>
          <w:kern w:val="2"/>
          <w:sz w:val="32"/>
          <w:szCs w:val="32"/>
          <w:highlight w:val="none"/>
          <w:shd w:val="clear" w:color="auto" w:fill="auto"/>
          <w:lang w:val="en-US" w:eastAsia="zh-CN" w:bidi="en-AU"/>
        </w:rPr>
        <w:t>涉及资金</w:t>
      </w:r>
      <w:r>
        <w:rPr>
          <w:rFonts w:hint="eastAsia" w:ascii="仿宋_GB2312" w:hAnsi="宋体" w:eastAsia="仿宋_GB2312" w:cs="仿宋_GB2312"/>
          <w:color w:val="auto"/>
          <w:kern w:val="2"/>
          <w:sz w:val="32"/>
          <w:szCs w:val="32"/>
          <w:highlight w:val="none"/>
          <w:shd w:val="clear" w:color="auto" w:fill="auto"/>
          <w:lang w:val="en-US" w:eastAsia="zh-CN" w:bidi="en-AU"/>
        </w:rPr>
        <w:t>40</w:t>
      </w:r>
      <w:r>
        <w:rPr>
          <w:rFonts w:hint="eastAsia" w:hAnsi="宋体" w:eastAsia="仿宋_GB2312" w:cs="仿宋_GB2312"/>
          <w:color w:val="auto"/>
          <w:kern w:val="2"/>
          <w:sz w:val="32"/>
          <w:szCs w:val="32"/>
          <w:highlight w:val="none"/>
          <w:shd w:val="clear" w:color="auto" w:fill="auto"/>
          <w:lang w:val="en-US" w:eastAsia="zh-CN" w:bidi="en-AU"/>
        </w:rPr>
        <w:t>万元</w:t>
      </w:r>
      <w:r>
        <w:rPr>
          <w:rFonts w:hint="eastAsia" w:ascii="仿宋_GB2312" w:hAnsi="宋体" w:eastAsia="仿宋_GB2312" w:cs="仿宋_GB2312"/>
          <w:color w:val="auto"/>
          <w:kern w:val="2"/>
          <w:sz w:val="32"/>
          <w:szCs w:val="32"/>
          <w:highlight w:val="none"/>
          <w:shd w:val="clear" w:color="auto" w:fill="auto"/>
          <w:lang w:val="en-US" w:eastAsia="zh-CN" w:bidi="en-AU"/>
        </w:rPr>
        <w:t>（其中：一般公共预算资金40万元，政府性基金预算资金0万元，国有资本经营预算资金0万元）</w:t>
      </w:r>
      <w:r>
        <w:rPr>
          <w:rFonts w:hint="eastAsia" w:hAnsi="宋体" w:eastAsia="仿宋_GB2312" w:cs="仿宋_GB2312"/>
          <w:color w:val="auto"/>
          <w:kern w:val="2"/>
          <w:sz w:val="32"/>
          <w:szCs w:val="32"/>
          <w:highlight w:val="none"/>
          <w:shd w:val="clear" w:color="auto" w:fill="auto"/>
          <w:lang w:val="en-US" w:eastAsia="zh-CN" w:bidi="en-AU"/>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2.项目绩效自评结果。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lang w:val="en-US" w:eastAsia="zh-CN" w:bidi="en-AU"/>
        </w:rPr>
      </w:pPr>
      <w:r>
        <w:rPr>
          <w:rFonts w:hint="eastAsia" w:ascii="仿宋_GB2312" w:hAnsi="宋体" w:eastAsia="仿宋_GB2312" w:cs="仿宋_GB2312"/>
          <w:color w:val="auto"/>
          <w:kern w:val="2"/>
          <w:sz w:val="32"/>
          <w:szCs w:val="32"/>
          <w:highlight w:val="none"/>
          <w:shd w:val="clear" w:color="auto" w:fill="auto"/>
          <w:lang w:val="en-US" w:eastAsia="zh-CN" w:bidi="en-AU"/>
        </w:rPr>
        <w:t>本部门在2022年度省直部门决算中反映</w:t>
      </w:r>
      <w:r>
        <w:rPr>
          <w:rFonts w:hint="eastAsia" w:ascii="仿宋" w:hAnsi="仿宋" w:eastAsia="仿宋" w:cs="Times New Roman"/>
          <w:sz w:val="32"/>
          <w:highlight w:val="none"/>
          <w:shd w:val="clear" w:color="auto" w:fill="auto"/>
          <w:lang w:val="en-US" w:eastAsia="zh-CN"/>
        </w:rPr>
        <w:t>重大政策措施贯彻落实情况跟踪审计服务费</w:t>
      </w:r>
      <w:r>
        <w:rPr>
          <w:rFonts w:hint="eastAsia" w:ascii="仿宋" w:hAnsi="仿宋" w:eastAsia="仿宋"/>
          <w:sz w:val="32"/>
          <w:highlight w:val="none"/>
          <w:shd w:val="clear" w:color="auto" w:fill="auto"/>
        </w:rPr>
        <w:t>项目</w:t>
      </w:r>
      <w:r>
        <w:rPr>
          <w:rFonts w:hint="eastAsia" w:ascii="仿宋_GB2312" w:hAnsi="宋体" w:eastAsia="仿宋_GB2312" w:cs="仿宋_GB2312"/>
          <w:color w:val="auto"/>
          <w:kern w:val="2"/>
          <w:sz w:val="32"/>
          <w:szCs w:val="32"/>
          <w:highlight w:val="none"/>
          <w:shd w:val="clear" w:color="auto" w:fill="auto"/>
          <w:lang w:val="en-US" w:eastAsia="zh-CN" w:bidi="en-AU"/>
        </w:rPr>
        <w:t>项目绩效自评结果。</w:t>
      </w:r>
    </w:p>
    <w:p>
      <w:pPr>
        <w:ind w:firstLine="640" w:firstLineChars="200"/>
        <w:rPr>
          <w:rFonts w:hint="eastAsia" w:ascii="仿宋_GB2312" w:hAnsi="宋体" w:eastAsia="仿宋_GB2312" w:cs="仿宋_GB2312"/>
          <w:color w:val="auto"/>
          <w:kern w:val="2"/>
          <w:sz w:val="32"/>
          <w:szCs w:val="32"/>
          <w:highlight w:val="yellow"/>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en-AU"/>
        </w:rPr>
        <w:t>（1）</w:t>
      </w:r>
      <w:r>
        <w:rPr>
          <w:rFonts w:hint="eastAsia" w:ascii="仿宋" w:hAnsi="仿宋" w:eastAsia="仿宋" w:cs="Times New Roman"/>
          <w:sz w:val="32"/>
          <w:highlight w:val="none"/>
          <w:shd w:val="clear" w:color="auto" w:fill="auto"/>
          <w:lang w:val="en-US" w:eastAsia="zh-CN"/>
        </w:rPr>
        <w:t>重大政策措施贯彻落实情况跟踪审计服务费</w:t>
      </w:r>
      <w:r>
        <w:rPr>
          <w:rFonts w:hint="eastAsia" w:ascii="仿宋" w:hAnsi="仿宋" w:eastAsia="仿宋"/>
          <w:sz w:val="32"/>
          <w:highlight w:val="none"/>
          <w:shd w:val="clear" w:color="auto" w:fill="auto"/>
        </w:rPr>
        <w:t>项目</w:t>
      </w:r>
      <w:r>
        <w:rPr>
          <w:rFonts w:hint="eastAsia" w:ascii="仿宋_GB2312" w:hAnsi="宋体" w:eastAsia="仿宋_GB2312" w:cs="仿宋_GB2312"/>
          <w:color w:val="auto"/>
          <w:kern w:val="2"/>
          <w:sz w:val="32"/>
          <w:szCs w:val="32"/>
          <w:highlight w:val="none"/>
          <w:shd w:val="clear" w:color="auto" w:fill="auto"/>
          <w:lang w:val="en-US" w:eastAsia="zh-CN" w:bidi="en-AU"/>
        </w:rPr>
        <w:t>项目自评综述：根据年初设定的绩效目标，项目自评得分100分。项目全年预算数为40万元，执行数为8.25万元，完成预算的20.6%。项目绩效目标完成情况：</w:t>
      </w:r>
      <w:r>
        <w:rPr>
          <w:rFonts w:hint="eastAsia" w:ascii="仿宋_GB2312" w:hAnsi="Times New Roman" w:eastAsia="仿宋_GB2312" w:cs="Times New Roman"/>
          <w:sz w:val="32"/>
          <w:szCs w:val="32"/>
          <w:highlight w:val="none"/>
          <w:lang w:eastAsia="zh-CN"/>
        </w:rPr>
        <w:t>审计局</w:t>
      </w:r>
      <w:r>
        <w:rPr>
          <w:rFonts w:hint="eastAsia" w:ascii="仿宋_GB2312" w:hAnsi="Times New Roman" w:eastAsia="仿宋_GB2312" w:cs="Times New Roman"/>
          <w:sz w:val="32"/>
          <w:szCs w:val="32"/>
          <w:highlight w:val="none"/>
        </w:rPr>
        <w:t>项目</w:t>
      </w:r>
      <w:r>
        <w:rPr>
          <w:rFonts w:hint="eastAsia" w:ascii="仿宋_GB2312" w:hAnsi="Times New Roman" w:eastAsia="仿宋_GB2312" w:cs="Times New Roman"/>
          <w:sz w:val="32"/>
          <w:szCs w:val="32"/>
          <w:highlight w:val="none"/>
          <w:lang w:eastAsia="zh-CN"/>
        </w:rPr>
        <w:t>已全部完成</w:t>
      </w:r>
      <w:r>
        <w:rPr>
          <w:rFonts w:hint="eastAsia" w:ascii="仿宋_GB2312" w:hAnsi="Times New Roman" w:eastAsia="仿宋_GB2312" w:cs="Times New Roman"/>
          <w:sz w:val="32"/>
          <w:szCs w:val="32"/>
          <w:highlight w:val="none"/>
        </w:rPr>
        <w:t>。经费开支范围包括：</w:t>
      </w:r>
      <w:r>
        <w:rPr>
          <w:rFonts w:hint="eastAsia" w:ascii="仿宋_GB2312" w:hAnsi="Times New Roman" w:eastAsia="仿宋_GB2312" w:cs="Times New Roman"/>
          <w:sz w:val="32"/>
          <w:szCs w:val="32"/>
          <w:highlight w:val="none"/>
          <w:lang w:eastAsia="zh-CN"/>
        </w:rPr>
        <w:t>省、市、县、区经验交流培训</w:t>
      </w:r>
      <w:r>
        <w:rPr>
          <w:rFonts w:hint="eastAsia" w:ascii="仿宋_GB2312" w:hAnsi="Times New Roman" w:eastAsia="仿宋_GB2312" w:cs="Times New Roman"/>
          <w:sz w:val="32"/>
          <w:szCs w:val="32"/>
          <w:highlight w:val="none"/>
        </w:rPr>
        <w:t>费</w:t>
      </w:r>
      <w:r>
        <w:rPr>
          <w:rFonts w:hint="eastAsia" w:ascii="仿宋_GB2312" w:hAnsi="Times New Roman" w:eastAsia="仿宋_GB2312" w:cs="Times New Roman"/>
          <w:sz w:val="32"/>
          <w:szCs w:val="32"/>
          <w:highlight w:val="none"/>
          <w:lang w:eastAsia="zh-CN"/>
        </w:rPr>
        <w:t>，</w:t>
      </w:r>
      <w:r>
        <w:rPr>
          <w:rFonts w:hint="eastAsia" w:ascii="仿宋_GB2312" w:eastAsia="仿宋_GB2312"/>
          <w:sz w:val="32"/>
          <w:szCs w:val="32"/>
          <w:highlight w:val="none"/>
          <w:lang w:eastAsia="zh-CN"/>
        </w:rPr>
        <w:t>经济责任及预算执行审计办公费</w:t>
      </w:r>
      <w:r>
        <w:rPr>
          <w:rFonts w:hint="eastAsia" w:ascii="仿宋_GB2312" w:eastAsia="仿宋_GB2312"/>
          <w:sz w:val="32"/>
          <w:szCs w:val="32"/>
          <w:highlight w:val="none"/>
        </w:rPr>
        <w:t>等，资金使用与项目内容高度吻合。资金管理情况分析。项目经费严格按照</w:t>
      </w:r>
      <w:r>
        <w:rPr>
          <w:rFonts w:hint="eastAsia" w:ascii="仿宋_GB2312" w:eastAsia="仿宋_GB2312"/>
          <w:sz w:val="32"/>
          <w:szCs w:val="32"/>
          <w:highlight w:val="none"/>
          <w:lang w:eastAsia="zh-CN"/>
        </w:rPr>
        <w:t>审计局</w:t>
      </w:r>
      <w:r>
        <w:rPr>
          <w:rFonts w:hint="eastAsia" w:ascii="仿宋_GB2312" w:eastAsia="仿宋_GB2312"/>
          <w:sz w:val="32"/>
          <w:szCs w:val="32"/>
          <w:highlight w:val="none"/>
        </w:rPr>
        <w:t>财务制度和预算支出范围使用。由</w:t>
      </w:r>
      <w:r>
        <w:rPr>
          <w:rFonts w:hint="eastAsia" w:ascii="仿宋_GB2312" w:eastAsia="仿宋_GB2312"/>
          <w:sz w:val="32"/>
          <w:szCs w:val="32"/>
          <w:highlight w:val="none"/>
          <w:lang w:eastAsia="zh-CN"/>
        </w:rPr>
        <w:t>财政事务服务中心</w:t>
      </w:r>
      <w:r>
        <w:rPr>
          <w:rFonts w:hint="eastAsia" w:ascii="仿宋_GB2312" w:eastAsia="仿宋_GB2312"/>
          <w:sz w:val="32"/>
          <w:szCs w:val="32"/>
          <w:highlight w:val="none"/>
        </w:rPr>
        <w:t>统一核算，按照项目计划安排和实际工作情况开支，做到专款专用，经费均按照有关文件、通知精神执行</w:t>
      </w:r>
      <w:r>
        <w:rPr>
          <w:rFonts w:hint="eastAsia" w:ascii="仿宋_GB2312" w:eastAsia="仿宋_GB2312"/>
          <w:sz w:val="32"/>
          <w:szCs w:val="32"/>
          <w:highlight w:val="none"/>
          <w:lang w:eastAsia="zh-CN"/>
        </w:rPr>
        <w:t>。</w:t>
      </w:r>
    </w:p>
    <w:p>
      <w:pPr>
        <w:ind w:firstLine="640" w:firstLineChars="200"/>
        <w:rPr>
          <w:rFonts w:hint="eastAsia" w:ascii="仿宋_GB2312" w:hAnsi="宋体" w:eastAsia="仿宋_GB2312" w:cs="仿宋_GB2312"/>
          <w:color w:val="auto"/>
          <w:kern w:val="2"/>
          <w:sz w:val="32"/>
          <w:szCs w:val="32"/>
          <w:highlight w:val="none"/>
          <w:shd w:val="clear" w:color="auto" w:fill="auto"/>
          <w:lang w:val="en-US" w:eastAsia="zh-CN" w:bidi="ar"/>
        </w:rPr>
      </w:pP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eastAsia="仿宋_GB2312"/>
          <w:sz w:val="32"/>
          <w:szCs w:val="32"/>
          <w:highlight w:val="none"/>
        </w:rPr>
        <w:t>部分工作绩效目标难以确定。预算编制绩效目标在实际开展工作时因有新要求和新任务，预算绩效目标与实施绩效目标会有差异预算编制水平有待进一步提高。</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eastAsia="仿宋_GB2312"/>
          <w:sz w:val="32"/>
          <w:szCs w:val="32"/>
          <w:highlight w:val="none"/>
        </w:rPr>
        <w:t>资金管理业务人员及项目管理业务人员普遍未系统学习过绩效管理知识，绩效管理水平有待提高，未全面掌握绩效管理工作方法和能力</w:t>
      </w:r>
      <w:r>
        <w:rPr>
          <w:rFonts w:hint="eastAsia" w:ascii="仿宋_GB2312" w:hAnsi="宋体" w:eastAsia="仿宋_GB2312" w:cs="仿宋_GB2312"/>
          <w:color w:val="auto"/>
          <w:kern w:val="2"/>
          <w:sz w:val="32"/>
          <w:szCs w:val="32"/>
          <w:highlight w:val="none"/>
          <w:shd w:val="clear" w:color="auto" w:fil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lang w:val="en-US" w:eastAsia="zh-CN" w:bidi="en-AU"/>
        </w:rPr>
      </w:pPr>
      <w:r>
        <w:rPr>
          <w:rFonts w:hint="eastAsia" w:ascii="仿宋_GB2312" w:hAnsi="宋体" w:eastAsia="仿宋_GB2312" w:cs="仿宋_GB2312"/>
          <w:color w:val="auto"/>
          <w:kern w:val="2"/>
          <w:sz w:val="32"/>
          <w:szCs w:val="32"/>
          <w:highlight w:val="none"/>
          <w:shd w:val="clear" w:color="auto" w:fill="auto"/>
          <w:lang w:val="en-US" w:eastAsia="zh-CN" w:bidi="ar"/>
        </w:rPr>
        <w:t>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eastAsia="仿宋_GB2312"/>
          <w:sz w:val="32"/>
          <w:szCs w:val="32"/>
          <w:highlight w:val="none"/>
        </w:rPr>
        <w:t>在今后编制预算时，不断完善绩效评价指标，及时调整和优化单位后续项目和以后年度预算支出的方向和结构，合理配置资源，加强财务管理，完善项目管理办法，切实提高项目管理水平、财政资金使用效益和部门工作效率</w:t>
      </w:r>
      <w:r>
        <w:rPr>
          <w:rFonts w:hint="eastAsia" w:ascii="仿宋_GB2312" w:eastAsia="仿宋_GB2312"/>
          <w:sz w:val="32"/>
          <w:szCs w:val="32"/>
          <w:highlight w:val="none"/>
          <w:lang w:eastAsia="zh-CN"/>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eastAsia="仿宋_GB2312"/>
          <w:sz w:val="32"/>
          <w:szCs w:val="32"/>
          <w:highlight w:val="none"/>
        </w:rPr>
        <w:t>加强学习培训，提高业务水平。大力加强对参与绩效管理人员的专业知识培训，从思想认识到业务能力全面覆盖，重点提高专业知识水平，为提高绩效管理工作水平作好人才准备</w:t>
      </w:r>
      <w:r>
        <w:rPr>
          <w:rFonts w:hint="eastAsia" w:ascii="仿宋_GB2312" w:eastAsia="仿宋_GB2312"/>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lang w:val="en-US" w:eastAsia="zh-CN" w:bidi="en-AU"/>
        </w:rPr>
      </w:pPr>
      <w:r>
        <w:rPr>
          <w:rFonts w:hint="eastAsia" w:ascii="仿宋_GB2312" w:hAnsi="宋体" w:eastAsia="仿宋_GB2312" w:cs="仿宋_GB2312"/>
          <w:color w:val="auto"/>
          <w:kern w:val="2"/>
          <w:sz w:val="32"/>
          <w:szCs w:val="32"/>
          <w:highlight w:val="none"/>
          <w:shd w:val="clear" w:color="auto" w:fill="auto"/>
          <w:lang w:val="en-US" w:eastAsia="zh-CN" w:bidi="en-AU"/>
        </w:rPr>
        <w:t>《预算（项目）政策绩效自评表》见附件。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left"/>
        <w:textAlignment w:val="auto"/>
        <w:rPr>
          <w:rFonts w:ascii="宋体" w:hAnsi="宋体"/>
          <w:b/>
          <w:sz w:val="36"/>
          <w:szCs w:val="36"/>
        </w:rPr>
      </w:pPr>
      <w:r>
        <w:br w:type="page"/>
      </w:r>
      <w:r>
        <w:rPr>
          <w:rFonts w:hint="eastAsia"/>
          <w:lang w:val="en-US" w:eastAsia="zh-CN"/>
        </w:rPr>
        <w:t xml:space="preserve">    </w:t>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0" w:firstLineChars="200"/>
        <w:rPr>
          <w:rFonts w:hint="eastAsia" w:ascii="仿宋_GB2312" w:eastAsia="仿宋_GB2312"/>
          <w:b/>
          <w:sz w:val="32"/>
          <w:szCs w:val="32"/>
        </w:rPr>
      </w:pPr>
      <w:r>
        <w:rPr>
          <w:rFonts w:hint="eastAsia" w:ascii="仿宋_GB2312" w:eastAsia="仿宋_GB2312"/>
          <w:i/>
          <w:sz w:val="32"/>
          <w:szCs w:val="32"/>
          <w:u w:val="single"/>
        </w:rPr>
        <w:t>（部门决算涉及的支出功能分类全部项级科目，逐一解释）……</w:t>
      </w:r>
    </w:p>
    <w:p>
      <w:pPr>
        <w:spacing w:line="540" w:lineRule="exact"/>
        <w:rPr>
          <w:sz w:val="32"/>
          <w:szCs w:val="32"/>
        </w:rPr>
        <w:sectPr>
          <w:footerReference r:id="rId3" w:type="default"/>
          <w:footerReference r:id="rId4" w:type="even"/>
          <w:pgSz w:w="11906" w:h="16838"/>
          <w:pgMar w:top="1134" w:right="850" w:bottom="1134" w:left="850" w:header="851" w:footer="992" w:gutter="0"/>
          <w:cols w:space="720" w:num="1"/>
          <w:docGrid w:type="lines" w:linePitch="312" w:charSpace="0"/>
        </w:sectPr>
      </w:pPr>
    </w:p>
    <w:p>
      <w:pPr>
        <w:spacing w:line="540" w:lineRule="exact"/>
        <w:ind w:firstLine="640" w:firstLineChars="200"/>
        <w:jc w:val="left"/>
        <w:rPr>
          <w:rFonts w:hint="eastAsia" w:ascii="仿宋_GB2312" w:eastAsia="仿宋_GB2312"/>
          <w:i/>
          <w:sz w:val="32"/>
          <w:szCs w:val="32"/>
          <w:u w:val="single"/>
        </w:rPr>
      </w:pP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52"/>
          <w:szCs w:val="52"/>
        </w:rPr>
        <w:t xml:space="preserve">第四部分 </w:t>
      </w:r>
      <w:r>
        <w:rPr>
          <w:rFonts w:hint="eastAsia" w:ascii="宋体" w:hAnsi="宋体"/>
          <w:b/>
          <w:sz w:val="52"/>
          <w:szCs w:val="52"/>
          <w:lang w:eastAsia="zh-CN"/>
        </w:rPr>
        <w:t>2022</w:t>
      </w:r>
      <w:r>
        <w:rPr>
          <w:rFonts w:hint="eastAsia" w:ascii="宋体" w:hAnsi="宋体"/>
          <w:b/>
          <w:sz w:val="52"/>
          <w:szCs w:val="52"/>
        </w:rPr>
        <w:t>年度部门决算表</w:t>
      </w:r>
    </w:p>
    <w:p>
      <w:pPr>
        <w:spacing w:line="540" w:lineRule="exact"/>
        <w:jc w:val="center"/>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numPr>
          <w:ilvl w:val="0"/>
          <w:numId w:val="3"/>
        </w:numPr>
        <w:spacing w:line="540" w:lineRule="exact"/>
        <w:jc w:val="center"/>
        <w:rPr>
          <w:rFonts w:hint="eastAsia" w:ascii="宋体" w:hAnsi="宋体"/>
          <w:b/>
          <w:sz w:val="52"/>
          <w:szCs w:val="52"/>
          <w:lang w:eastAsia="zh-CN"/>
        </w:rPr>
      </w:pPr>
      <w:r>
        <w:rPr>
          <w:rFonts w:hint="eastAsia" w:ascii="宋体" w:hAnsi="宋体"/>
          <w:b/>
          <w:sz w:val="52"/>
          <w:szCs w:val="52"/>
          <w:lang w:val="en-US" w:eastAsia="zh-CN"/>
        </w:rPr>
        <w:t xml:space="preserve"> </w:t>
      </w:r>
      <w:r>
        <w:rPr>
          <w:rFonts w:hint="eastAsia" w:ascii="宋体" w:hAnsi="宋体"/>
          <w:b/>
          <w:sz w:val="52"/>
          <w:szCs w:val="52"/>
        </w:rPr>
        <w:t xml:space="preserve"> </w:t>
      </w:r>
      <w:r>
        <w:rPr>
          <w:rFonts w:hint="eastAsia" w:ascii="宋体" w:hAnsi="宋体"/>
          <w:b/>
          <w:sz w:val="52"/>
          <w:szCs w:val="52"/>
          <w:lang w:eastAsia="zh-CN"/>
        </w:rPr>
        <w:t>附件</w:t>
      </w:r>
    </w:p>
    <w:p>
      <w:pPr>
        <w:numPr>
          <w:numId w:val="0"/>
        </w:numPr>
        <w:spacing w:line="540" w:lineRule="exact"/>
        <w:jc w:val="both"/>
        <w:rPr>
          <w:rFonts w:hint="eastAsia" w:ascii="宋体" w:hAnsi="宋体"/>
          <w:b/>
          <w:sz w:val="52"/>
          <w:szCs w:val="52"/>
          <w:lang w:eastAsia="zh-CN"/>
        </w:rPr>
      </w:pPr>
    </w:p>
    <w:p>
      <w:pPr>
        <w:numPr>
          <w:numId w:val="0"/>
        </w:numPr>
        <w:spacing w:line="540" w:lineRule="exact"/>
        <w:jc w:val="both"/>
        <w:rPr>
          <w:rFonts w:hint="eastAsia" w:ascii="宋体" w:hAnsi="宋体"/>
          <w:b/>
          <w:sz w:val="52"/>
          <w:szCs w:val="52"/>
          <w:lang w:eastAsia="zh-CN"/>
        </w:rPr>
      </w:pPr>
    </w:p>
    <w:p>
      <w:pPr>
        <w:numPr>
          <w:numId w:val="0"/>
        </w:numPr>
        <w:spacing w:line="540" w:lineRule="exact"/>
        <w:jc w:val="both"/>
        <w:rPr>
          <w:rFonts w:hint="eastAsia" w:ascii="宋体" w:hAnsi="宋体"/>
          <w:b/>
          <w:sz w:val="52"/>
          <w:szCs w:val="52"/>
          <w:lang w:eastAsia="zh-CN"/>
        </w:rPr>
      </w:pPr>
    </w:p>
    <w:p>
      <w:pPr>
        <w:numPr>
          <w:numId w:val="0"/>
        </w:numPr>
        <w:spacing w:line="540" w:lineRule="exact"/>
        <w:jc w:val="both"/>
        <w:rPr>
          <w:rFonts w:hint="eastAsia" w:ascii="宋体" w:hAnsi="宋体"/>
          <w:b/>
          <w:sz w:val="52"/>
          <w:szCs w:val="52"/>
          <w:lang w:eastAsia="zh-CN"/>
        </w:rPr>
      </w:pPr>
    </w:p>
    <w:p>
      <w:pPr>
        <w:numPr>
          <w:numId w:val="0"/>
        </w:numPr>
        <w:spacing w:line="540" w:lineRule="exact"/>
        <w:jc w:val="both"/>
        <w:rPr>
          <w:rFonts w:hint="eastAsia" w:ascii="宋体" w:hAnsi="宋体"/>
          <w:b/>
          <w:sz w:val="52"/>
          <w:szCs w:val="52"/>
          <w:lang w:eastAsia="zh-CN"/>
        </w:rPr>
      </w:pPr>
    </w:p>
    <w:p>
      <w:pPr>
        <w:numPr>
          <w:numId w:val="0"/>
        </w:numPr>
        <w:spacing w:line="540" w:lineRule="exact"/>
        <w:jc w:val="both"/>
        <w:rPr>
          <w:rFonts w:hint="eastAsia" w:ascii="宋体" w:hAnsi="宋体"/>
          <w:b/>
          <w:sz w:val="52"/>
          <w:szCs w:val="52"/>
          <w:lang w:eastAsia="zh-CN"/>
        </w:rPr>
      </w:pPr>
    </w:p>
    <w:p>
      <w:pPr>
        <w:numPr>
          <w:numId w:val="0"/>
        </w:numPr>
        <w:spacing w:line="540" w:lineRule="exact"/>
        <w:jc w:val="both"/>
        <w:rPr>
          <w:rFonts w:hint="eastAsia" w:ascii="宋体" w:hAnsi="宋体"/>
          <w:b/>
          <w:sz w:val="52"/>
          <w:szCs w:val="52"/>
          <w:lang w:eastAsia="zh-CN"/>
        </w:rPr>
      </w:pPr>
    </w:p>
    <w:p>
      <w:pPr>
        <w:numPr>
          <w:numId w:val="0"/>
        </w:numPr>
        <w:spacing w:line="540" w:lineRule="exact"/>
        <w:jc w:val="both"/>
        <w:rPr>
          <w:rFonts w:hint="eastAsia" w:ascii="宋体" w:hAnsi="宋体"/>
          <w:b/>
          <w:sz w:val="52"/>
          <w:szCs w:val="52"/>
          <w:lang w:eastAsia="zh-CN"/>
        </w:rPr>
      </w:pPr>
    </w:p>
    <w:tbl>
      <w:tblPr>
        <w:tblW w:w="137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1"/>
        <w:gridCol w:w="647"/>
        <w:gridCol w:w="647"/>
        <w:gridCol w:w="1155"/>
        <w:gridCol w:w="750"/>
        <w:gridCol w:w="750"/>
        <w:gridCol w:w="750"/>
        <w:gridCol w:w="1290"/>
        <w:gridCol w:w="750"/>
        <w:gridCol w:w="750"/>
        <w:gridCol w:w="660"/>
        <w:gridCol w:w="660"/>
        <w:gridCol w:w="630"/>
        <w:gridCol w:w="630"/>
        <w:gridCol w:w="630"/>
        <w:gridCol w:w="630"/>
        <w:gridCol w:w="84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3771" w:type="dxa"/>
            <w:gridSpan w:val="18"/>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部门（单位）整体绩效自评表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3771"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3771"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部门（单位）名称</w:t>
            </w:r>
          </w:p>
        </w:tc>
        <w:tc>
          <w:tcPr>
            <w:tcW w:w="1056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312011辽宁省盘锦市兴隆台区审计局-211103000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32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部门年初预算收入金额（万元）</w:t>
            </w:r>
          </w:p>
        </w:tc>
        <w:tc>
          <w:tcPr>
            <w:tcW w:w="1056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32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部门年初预算支出金额（万元）</w:t>
            </w:r>
          </w:p>
        </w:tc>
        <w:tc>
          <w:tcPr>
            <w:tcW w:w="1056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年度主要任务</w:t>
            </w:r>
          </w:p>
        </w:tc>
        <w:tc>
          <w:tcPr>
            <w:tcW w:w="7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对应项目</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项目下达金额（万元）</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项目执行金额（万元）</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项目执行率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部门预算基本支出人员经费</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103.72</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103.72</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审计专项业务经费</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38.46%</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重大政策措施贯彻落实情况跟踪审计服务费</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8.25</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20.64%</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部门预算基本支出公用经费</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12.10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12.1</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年度目标</w:t>
            </w:r>
          </w:p>
        </w:tc>
        <w:tc>
          <w:tcPr>
            <w:tcW w:w="814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年初总体目标</w:t>
            </w:r>
          </w:p>
        </w:tc>
        <w:tc>
          <w:tcPr>
            <w:tcW w:w="486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21"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14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通过年初预算人员经费，保证全年人员经费，完成我局财政供养人员基本工资、津贴补贴、公积金、医疗保险、养老保险等及其他人员基本待遇的预算收支。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通过年初行政运行经费，完成日常行政公共管理工作所需费用支出。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通过年初预算培训经费，加强审计人员业务培训，保障审计工作的顺利开展。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通过预算收入，完成年初计划内审计和上级交办的审计项目。同时完成金审三期多功能会议室建设。部门整体支出绩效目标指标名称二级指标</w:t>
            </w:r>
          </w:p>
        </w:tc>
        <w:tc>
          <w:tcPr>
            <w:tcW w:w="486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我单位通过年初预算人员经费，保证全年人员经费，完成我局财政供养人员基本工资、津贴补贴、公积金、医疗保险、养老保险等及其他人员基本待遇的预算收支；通过年初行政运行经费，完成日常行政公共管理工作所需费用支出；通过年初预算培训经费，加强审计人员业务培训，保障审计工作的顺利开展；通过预算收入，完成年初计划内审计和上级交办的审计项目；同时完成金审三期多功能会议室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62"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115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75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运算符号</w:t>
            </w:r>
          </w:p>
        </w:tc>
        <w:tc>
          <w:tcPr>
            <w:tcW w:w="75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75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度量单位</w:t>
            </w:r>
          </w:p>
        </w:tc>
        <w:tc>
          <w:tcPr>
            <w:tcW w:w="129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全年完成值</w:t>
            </w:r>
          </w:p>
        </w:tc>
        <w:tc>
          <w:tcPr>
            <w:tcW w:w="75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完成程度</w:t>
            </w:r>
          </w:p>
        </w:tc>
        <w:tc>
          <w:tcPr>
            <w:tcW w:w="75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分值</w:t>
            </w:r>
          </w:p>
        </w:tc>
        <w:tc>
          <w:tcPr>
            <w:tcW w:w="66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得分</w:t>
            </w:r>
          </w:p>
        </w:tc>
        <w:tc>
          <w:tcPr>
            <w:tcW w:w="3180" w:type="dxa"/>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偏差原因分析</w:t>
            </w:r>
          </w:p>
        </w:tc>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3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15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5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5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5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5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5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6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经费保障原因分析</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制度保障原因分析</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人员保障原因分析</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硬件条件保障原因分析</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其他原因分析</w:t>
            </w: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重点工作履行情况</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重点工作办结率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整体工作完成情况</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总体工作完成率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工作完成及时率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工作质量达标率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基础管理</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依法行政能力</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管理规范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综合管理水平</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管理规范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预算执行效率</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预算执行率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预算调整率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结转结余变动率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预算编制管理</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预算绩效目标覆盖率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预算监督管理</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预决算公开情况</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全部公开</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预算收支管理</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预算支出管理规范性</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管理规范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预算收入管理规范性</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管理规范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财务管理</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内控制度有效性</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制度有效</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资产管理</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固定资产利用率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业务管理</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政府采购管理违法违规行为发生次数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次</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成本控制成效</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“三公”经费变动率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在职人员控制率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计算机中级培训考试合格率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服务对象满意度</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审计人员被投诉率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主管部门满意度</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对审计信息平台运行的评价和满意度</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7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创新驱动发展</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建立内控业务流程</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全部或基本达成预期指标100%-80%（含）</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bl>
    <w:p>
      <w:pPr>
        <w:spacing w:line="540" w:lineRule="exact"/>
        <w:jc w:val="center"/>
        <w:rPr>
          <w:rFonts w:hint="eastAsia" w:ascii="仿宋_GB2312" w:eastAsia="仿宋_GB2312"/>
          <w:sz w:val="52"/>
          <w:szCs w:val="52"/>
        </w:rPr>
      </w:pPr>
      <w:r>
        <w:br w:type="page"/>
      </w:r>
    </w:p>
    <w:p>
      <w:pPr>
        <w:spacing w:line="540" w:lineRule="exact"/>
        <w:jc w:val="left"/>
        <w:rPr>
          <w:sz w:val="32"/>
          <w:szCs w:val="32"/>
        </w:rPr>
      </w:pPr>
    </w:p>
    <w:p>
      <w:pPr>
        <w:spacing w:line="540" w:lineRule="exact"/>
        <w:rPr>
          <w:sz w:val="32"/>
          <w:szCs w:val="32"/>
        </w:rPr>
      </w:pPr>
    </w:p>
    <w:sectPr>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pPr>
    <w:r>
      <w:fldChar w:fldCharType="begin"/>
    </w:r>
    <w:r>
      <w:instrText xml:space="preserve">PAGE  </w:instrText>
    </w:r>
    <w:r>
      <w:fldChar w:fldCharType="separate"/>
    </w:r>
    <w:r>
      <w:rPr>
        <w:rStyle w:val="12"/>
      </w:rPr>
      <w:t>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pPr>
    <w:r>
      <w:fldChar w:fldCharType="begin"/>
    </w:r>
    <w:r>
      <w:instrText xml:space="preserve">PAGE  </w:instrText>
    </w:r>
    <w:r>
      <w:fldChar w:fldCharType="separate"/>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E4610121"/>
    <w:multiLevelType w:val="singleLevel"/>
    <w:tmpl w:val="E4610121"/>
    <w:lvl w:ilvl="0" w:tentative="0">
      <w:start w:val="5"/>
      <w:numFmt w:val="chineseCounting"/>
      <w:suff w:val="space"/>
      <w:lvlText w:val="第%1部分"/>
      <w:lvlJc w:val="left"/>
      <w:rPr>
        <w:rFonts w:hint="eastAsia"/>
      </w:rPr>
    </w:lvl>
  </w:abstractNum>
  <w:abstractNum w:abstractNumId="2">
    <w:nsid w:val="0053208E"/>
    <w:multiLevelType w:val="multilevel"/>
    <w:tmpl w:val="0053208E"/>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MDZhZjc3NmIyY2M4NTJlMGE5YmQzNjA4NzhmNWUifQ=="/>
  </w:docVars>
  <w:rsids>
    <w:rsidRoot w:val="00000000"/>
    <w:rsid w:val="000273CC"/>
    <w:rsid w:val="00C47D9A"/>
    <w:rsid w:val="01DE1773"/>
    <w:rsid w:val="042B5143"/>
    <w:rsid w:val="04D8694E"/>
    <w:rsid w:val="05904DF0"/>
    <w:rsid w:val="05C1050D"/>
    <w:rsid w:val="05E02961"/>
    <w:rsid w:val="060043AE"/>
    <w:rsid w:val="07AA1F9E"/>
    <w:rsid w:val="093323A4"/>
    <w:rsid w:val="09F2239D"/>
    <w:rsid w:val="0B246449"/>
    <w:rsid w:val="0C62191E"/>
    <w:rsid w:val="0D755681"/>
    <w:rsid w:val="0E1D0828"/>
    <w:rsid w:val="101A2F20"/>
    <w:rsid w:val="104906FF"/>
    <w:rsid w:val="117417AC"/>
    <w:rsid w:val="123C3595"/>
    <w:rsid w:val="13C407C9"/>
    <w:rsid w:val="14B2446E"/>
    <w:rsid w:val="1629525B"/>
    <w:rsid w:val="16363F26"/>
    <w:rsid w:val="16A36133"/>
    <w:rsid w:val="16EA5E33"/>
    <w:rsid w:val="18822A00"/>
    <w:rsid w:val="189D12B1"/>
    <w:rsid w:val="19774FE9"/>
    <w:rsid w:val="1A187AC0"/>
    <w:rsid w:val="1A1D50D7"/>
    <w:rsid w:val="1AA03612"/>
    <w:rsid w:val="1CDC3310"/>
    <w:rsid w:val="1D0D294D"/>
    <w:rsid w:val="1D9C4564"/>
    <w:rsid w:val="20014B53"/>
    <w:rsid w:val="200A1C59"/>
    <w:rsid w:val="20116D42"/>
    <w:rsid w:val="209D2ACD"/>
    <w:rsid w:val="21894E00"/>
    <w:rsid w:val="21F26E49"/>
    <w:rsid w:val="22691777"/>
    <w:rsid w:val="23987286"/>
    <w:rsid w:val="24F46A34"/>
    <w:rsid w:val="25225914"/>
    <w:rsid w:val="25D91F8B"/>
    <w:rsid w:val="26451C3D"/>
    <w:rsid w:val="278B5D4E"/>
    <w:rsid w:val="27DC41AC"/>
    <w:rsid w:val="28EF5E90"/>
    <w:rsid w:val="29622B06"/>
    <w:rsid w:val="29F067FC"/>
    <w:rsid w:val="2C6D5A4A"/>
    <w:rsid w:val="2CD94E8D"/>
    <w:rsid w:val="2CDE6947"/>
    <w:rsid w:val="2E163EBF"/>
    <w:rsid w:val="2E9C43C4"/>
    <w:rsid w:val="2F8D6403"/>
    <w:rsid w:val="3025663B"/>
    <w:rsid w:val="31701B38"/>
    <w:rsid w:val="31813D45"/>
    <w:rsid w:val="31A812D2"/>
    <w:rsid w:val="320318B4"/>
    <w:rsid w:val="32625925"/>
    <w:rsid w:val="33C323F3"/>
    <w:rsid w:val="34060532"/>
    <w:rsid w:val="349A203C"/>
    <w:rsid w:val="35E825E5"/>
    <w:rsid w:val="38E250CA"/>
    <w:rsid w:val="396E74A8"/>
    <w:rsid w:val="3B6D7E45"/>
    <w:rsid w:val="3B8B7C9A"/>
    <w:rsid w:val="3BCE2507"/>
    <w:rsid w:val="3DB17760"/>
    <w:rsid w:val="3E1F291C"/>
    <w:rsid w:val="3F122481"/>
    <w:rsid w:val="3F5E1222"/>
    <w:rsid w:val="41990553"/>
    <w:rsid w:val="42FE0D52"/>
    <w:rsid w:val="43087E22"/>
    <w:rsid w:val="436F39FE"/>
    <w:rsid w:val="48743864"/>
    <w:rsid w:val="49170DBF"/>
    <w:rsid w:val="49EF7646"/>
    <w:rsid w:val="4A5E2A1E"/>
    <w:rsid w:val="4A6A0C20"/>
    <w:rsid w:val="4AB56AE2"/>
    <w:rsid w:val="4B9A2A4F"/>
    <w:rsid w:val="4BCD7E5B"/>
    <w:rsid w:val="4C9E7102"/>
    <w:rsid w:val="510A745C"/>
    <w:rsid w:val="51E34ACA"/>
    <w:rsid w:val="523E560F"/>
    <w:rsid w:val="53AE40CE"/>
    <w:rsid w:val="54694499"/>
    <w:rsid w:val="54E504AC"/>
    <w:rsid w:val="54EA7388"/>
    <w:rsid w:val="578D66F1"/>
    <w:rsid w:val="57B277DD"/>
    <w:rsid w:val="57F4051E"/>
    <w:rsid w:val="58627B7D"/>
    <w:rsid w:val="59017396"/>
    <w:rsid w:val="597B4F1E"/>
    <w:rsid w:val="5B1E7D8B"/>
    <w:rsid w:val="5DFF6E2C"/>
    <w:rsid w:val="5E2F0501"/>
    <w:rsid w:val="60430294"/>
    <w:rsid w:val="607C6FD9"/>
    <w:rsid w:val="6094289E"/>
    <w:rsid w:val="60F375C4"/>
    <w:rsid w:val="61665FE8"/>
    <w:rsid w:val="61EE5AB9"/>
    <w:rsid w:val="641E704E"/>
    <w:rsid w:val="646B1B68"/>
    <w:rsid w:val="656211BC"/>
    <w:rsid w:val="65C14135"/>
    <w:rsid w:val="66EF5E2E"/>
    <w:rsid w:val="696E6382"/>
    <w:rsid w:val="69DF102E"/>
    <w:rsid w:val="6B1B6095"/>
    <w:rsid w:val="6BD91AAD"/>
    <w:rsid w:val="6D176058"/>
    <w:rsid w:val="6EFF7F8D"/>
    <w:rsid w:val="6F394D3C"/>
    <w:rsid w:val="711315BD"/>
    <w:rsid w:val="71F66F14"/>
    <w:rsid w:val="75091CF0"/>
    <w:rsid w:val="757F1917"/>
    <w:rsid w:val="75A35605"/>
    <w:rsid w:val="76116A13"/>
    <w:rsid w:val="76360227"/>
    <w:rsid w:val="76C2746C"/>
    <w:rsid w:val="77DC095A"/>
    <w:rsid w:val="78450BF6"/>
    <w:rsid w:val="785250C1"/>
    <w:rsid w:val="79097DAE"/>
    <w:rsid w:val="7961380D"/>
    <w:rsid w:val="79AB4A88"/>
    <w:rsid w:val="7A170370"/>
    <w:rsid w:val="7C0D1A2A"/>
    <w:rsid w:val="7C754515"/>
    <w:rsid w:val="7CF77684"/>
    <w:rsid w:val="7DE92023"/>
    <w:rsid w:val="7E8A55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 w:type="paragraph" w:customStyle="1" w:styleId="7">
    <w:name w:val="批注框文本1"/>
    <w:basedOn w:val="1"/>
    <w:uiPriority w:val="0"/>
    <w:rPr>
      <w:sz w:val="18"/>
      <w:szCs w:val="18"/>
    </w:rPr>
  </w:style>
  <w:style w:type="character" w:customStyle="1" w:styleId="8">
    <w:name w:val="批注框文本 Char"/>
    <w:uiPriority w:val="0"/>
    <w:rPr>
      <w:kern w:val="2"/>
      <w:sz w:val="18"/>
      <w:szCs w:val="18"/>
    </w:rPr>
  </w:style>
  <w:style w:type="paragraph" w:customStyle="1" w:styleId="9">
    <w:name w:val="页脚1"/>
    <w:basedOn w:val="1"/>
    <w:qFormat/>
    <w:uiPriority w:val="0"/>
    <w:pPr>
      <w:tabs>
        <w:tab w:val="center" w:pos="4153"/>
        <w:tab w:val="right" w:pos="8306"/>
      </w:tabs>
      <w:snapToGrid w:val="0"/>
      <w:jc w:val="left"/>
    </w:pPr>
    <w:rPr>
      <w:sz w:val="18"/>
      <w:szCs w:val="18"/>
    </w:rPr>
  </w:style>
  <w:style w:type="paragraph" w:customStyle="1" w:styleId="10">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uiPriority w:val="0"/>
    <w:rPr>
      <w:kern w:val="2"/>
      <w:sz w:val="18"/>
      <w:szCs w:val="18"/>
    </w:rPr>
  </w:style>
  <w:style w:type="character" w:customStyle="1" w:styleId="12">
    <w:name w:val="页码1"/>
    <w:basedOn w:val="6"/>
    <w:uiPriority w:val="0"/>
  </w:style>
  <w:style w:type="paragraph" w:customStyle="1" w:styleId="13">
    <w:name w:val=" 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basedOn w:val="6"/>
    <w:uiPriority w:val="0"/>
    <w:rPr>
      <w:rFonts w:hint="eastAsia" w:ascii="宋体" w:hAnsi="宋体" w:eastAsia="宋体" w:cs="宋体"/>
      <w:color w:val="000000"/>
      <w:sz w:val="24"/>
      <w:szCs w:val="24"/>
      <w:u w:val="none"/>
    </w:rPr>
  </w:style>
  <w:style w:type="character" w:customStyle="1" w:styleId="15">
    <w:name w:val="font1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2.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Props1.xml><?xml version="1.0" encoding="utf-8"?>
<ds:datastoreItem xmlns:ds="http://schemas.openxmlformats.org/officeDocument/2006/customXml" ds:itemID="{f7390469-ff9e-402c-a474-38a8db084b00}">
  <ds:schemaRefs/>
</ds:datastoreItem>
</file>

<file path=customXml/itemProps2.xml><?xml version="1.0" encoding="utf-8"?>
<ds:datastoreItem xmlns:ds="http://schemas.openxmlformats.org/officeDocument/2006/customXml" ds:itemID="{f8d18645-fdb2-489d-9e71-7159be82755e}">
  <ds:schemaRefs/>
</ds:datastoreItem>
</file>

<file path=customXml/itemProps3.xml><?xml version="1.0" encoding="utf-8"?>
<ds:datastoreItem xmlns:ds="http://schemas.openxmlformats.org/officeDocument/2006/customXml" ds:itemID="{9efae02d-5cc6-4ec6-89bc-9918c78baf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6403</Words>
  <Characters>6957</Characters>
  <Lines>37</Lines>
  <Paragraphs>10</Paragraphs>
  <TotalTime>6</TotalTime>
  <ScaleCrop>false</ScaleCrop>
  <LinksUpToDate>false</LinksUpToDate>
  <CharactersWithSpaces>7024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2014-08-22T16:46:00Z</dcterms:created>
  <dc:creator>lenovo</dc:creator>
  <cp:lastModifiedBy>清风与酒</cp:lastModifiedBy>
  <cp:lastPrinted>2023-07-29T21:56:00Z</cp:lastPrinted>
  <dcterms:modified xsi:type="dcterms:W3CDTF">2023-08-23T06:37:17Z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B0D88A3E8CEA488E936AC3C201527632_13</vt:lpwstr>
  </property>
</Properties>
</file>