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eastAsia="宋体"/>
          <w:b/>
          <w:sz w:val="44"/>
          <w:szCs w:val="44"/>
          <w:u w:val="single"/>
          <w:lang w:eastAsia="zh-CN"/>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盘锦市双台子区档案馆</w:t>
      </w:r>
      <w:r>
        <w:rPr>
          <w:rFonts w:hint="eastAsia" w:ascii="宋体" w:hAnsi="宋体"/>
          <w:b/>
          <w:sz w:val="52"/>
          <w:szCs w:val="52"/>
          <w:lang w:eastAsia="zh-CN"/>
        </w:rPr>
        <w:t>2022</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盘锦市双台子区档案馆概况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spacing w:line="540" w:lineRule="exact"/>
        <w:jc w:val="left"/>
        <w:rPr>
          <w:rFonts w:ascii="仿宋" w:hAnsi="仿宋" w:eastAsia="仿宋" w:cs="仿宋"/>
          <w:sz w:val="32"/>
          <w:szCs w:val="32"/>
        </w:rPr>
      </w:pPr>
      <w:r>
        <w:rPr>
          <w:rFonts w:hint="eastAsia" w:ascii="仿宋" w:hAnsi="仿宋" w:eastAsia="仿宋" w:cs="仿宋"/>
          <w:sz w:val="32"/>
          <w:szCs w:val="32"/>
        </w:rPr>
        <w:t>二、部门决算单位构成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盘锦市双台子区档案馆</w:t>
      </w:r>
      <w:r>
        <w:rPr>
          <w:rFonts w:hint="eastAsia" w:ascii="黑体" w:hAnsi="黑体" w:eastAsia="黑体"/>
          <w:sz w:val="32"/>
          <w:szCs w:val="32"/>
          <w:lang w:val="en-US" w:eastAsia="zh-CN"/>
        </w:rPr>
        <w:t>2022</w:t>
      </w:r>
      <w:r>
        <w:rPr>
          <w:rFonts w:hint="eastAsia" w:ascii="黑体" w:hAnsi="黑体" w:eastAsia="黑体"/>
          <w:sz w:val="32"/>
          <w:szCs w:val="32"/>
        </w:rPr>
        <w:t>年度部门决算报表</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w:t>
      </w:r>
      <w:r>
        <w:rPr>
          <w:rFonts w:hint="eastAsia" w:ascii="黑体" w:hAnsi="黑体" w:eastAsia="黑体"/>
          <w:sz w:val="32"/>
          <w:szCs w:val="32"/>
          <w:lang w:eastAsia="zh-CN"/>
        </w:rPr>
        <w:t>2022</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ascii="宋体" w:hAnsi="宋体"/>
          <w:b/>
          <w:sz w:val="36"/>
          <w:szCs w:val="36"/>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r>
        <w:rPr>
          <w:rFonts w:hint="eastAsia"/>
          <w:b/>
          <w:sz w:val="44"/>
          <w:szCs w:val="44"/>
          <w:u w:val="single"/>
        </w:rPr>
        <w:br w:type="page"/>
      </w: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黑体" w:hAnsi="黑体" w:eastAsia="黑体"/>
          <w:sz w:val="36"/>
          <w:szCs w:val="36"/>
        </w:rPr>
        <w:t>盘锦市双台子区档案馆</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（1）负责区直机关和其它接收范围内的纸质档案、电子档案及其它载体档案，接收、征集、整理、保管和档案解密开放利用工作；负责馆藏档案的数字化建设工作；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（2）负责搜集、整理、保存地方志和年鉴文献资料；负责地方志书和年鉴的编纂、审查、验收及出版工作。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（3）负责地方志理论研究，地方志编纂人员培训工作；负责本单位的安全生产、党建、人才工作。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（4）完成区委、区政府及上级部门交办的其它工作。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纳入盘锦市双台子区档案馆（区地方志办公室）</w:t>
      </w:r>
      <w:r>
        <w:rPr>
          <w:rFonts w:hint="eastAsia" w:ascii="仿宋" w:hAnsi="仿宋" w:eastAsia="仿宋" w:cs="仿宋"/>
          <w:bCs/>
          <w:sz w:val="32"/>
          <w:szCs w:val="32"/>
          <w:lang w:val="en-US" w:eastAsia="zh-CN"/>
        </w:rPr>
        <w:t>2022</w:t>
      </w:r>
      <w:r>
        <w:rPr>
          <w:rFonts w:hint="eastAsia" w:ascii="仿宋" w:hAnsi="仿宋" w:eastAsia="仿宋" w:cs="仿宋"/>
          <w:bCs/>
          <w:sz w:val="32"/>
          <w:szCs w:val="32"/>
        </w:rPr>
        <w:t>年部门决算编制范围的二级预算单位包括：  无</w:t>
      </w: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rPr>
          <w:rFonts w:ascii="仿宋_GB2312" w:eastAsia="仿宋_GB2312"/>
          <w:sz w:val="32"/>
          <w:szCs w:val="32"/>
        </w:rPr>
      </w:pPr>
    </w:p>
    <w:p>
      <w:pPr>
        <w:snapToGrid w:val="0"/>
        <w:spacing w:line="520" w:lineRule="exact"/>
        <w:jc w:val="both"/>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二</w:t>
      </w:r>
      <w:r>
        <w:rPr>
          <w:rFonts w:hint="eastAsia" w:ascii="宋体" w:hAnsi="宋体"/>
          <w:b/>
          <w:sz w:val="36"/>
          <w:szCs w:val="36"/>
        </w:rPr>
        <w:t>部分</w:t>
      </w:r>
      <w:r>
        <w:rPr>
          <w:rFonts w:hint="eastAsia" w:ascii="宋体" w:hAnsi="宋体"/>
          <w:b/>
          <w:sz w:val="36"/>
          <w:szCs w:val="36"/>
          <w:lang w:val="en-US" w:eastAsia="zh-CN"/>
        </w:rPr>
        <w:t>2022</w:t>
      </w:r>
      <w:r>
        <w:rPr>
          <w:rFonts w:hint="eastAsia" w:ascii="宋体" w:hAnsi="宋体"/>
          <w:b/>
          <w:sz w:val="36"/>
          <w:szCs w:val="36"/>
        </w:rPr>
        <w:t>年度部门决算情况说明</w:t>
      </w: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74.58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74.58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74.58</w:t>
      </w:r>
      <w:r>
        <w:rPr>
          <w:rFonts w:hint="eastAsia" w:ascii="仿宋_GB2312" w:hAnsi="宋体" w:eastAsia="仿宋_GB2312"/>
          <w:sz w:val="32"/>
          <w:szCs w:val="32"/>
        </w:rPr>
        <w:t>万元，政府性基金收入0万元</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7.用事业基金弥补收支差额0万元，占收入总计的0%。主要是0等。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8.上年结转和结余0万元，占收入总计的0%。主要是0等。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增加11.70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增加18.60</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是工资福利的增加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74.58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highlight w:val="none"/>
          <w:lang w:val="en-US" w:eastAsia="zh-CN"/>
        </w:rPr>
        <w:t>58.36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78.25%</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53.85</w:t>
      </w:r>
      <w:r>
        <w:rPr>
          <w:rFonts w:hint="eastAsia" w:ascii="仿宋_GB2312" w:hAnsi="宋体" w:eastAsia="仿宋_GB2312"/>
          <w:sz w:val="32"/>
          <w:szCs w:val="32"/>
        </w:rPr>
        <w:t>万元，对个人和家庭的补助支出</w:t>
      </w:r>
      <w:r>
        <w:rPr>
          <w:rFonts w:hint="eastAsia" w:ascii="仿宋_GB2312" w:hAnsi="宋体" w:eastAsia="仿宋_GB2312"/>
          <w:sz w:val="32"/>
          <w:szCs w:val="32"/>
          <w:highlight w:val="none"/>
          <w:lang w:val="en-US" w:eastAsia="zh-CN"/>
        </w:rPr>
        <w:t>0.71</w:t>
      </w:r>
      <w:r>
        <w:rPr>
          <w:rFonts w:hint="eastAsia" w:ascii="仿宋_GB2312" w:hAnsi="宋体" w:eastAsia="仿宋_GB2312"/>
          <w:sz w:val="32"/>
          <w:szCs w:val="32"/>
        </w:rPr>
        <w:t>万元，商品和服务支出</w:t>
      </w:r>
      <w:r>
        <w:rPr>
          <w:rFonts w:hint="eastAsia" w:ascii="仿宋_GB2312" w:hAnsi="宋体" w:eastAsia="仿宋_GB2312"/>
          <w:sz w:val="32"/>
          <w:szCs w:val="32"/>
          <w:highlight w:val="none"/>
          <w:lang w:val="en-US" w:eastAsia="zh-CN"/>
        </w:rPr>
        <w:t>3.41</w:t>
      </w:r>
      <w:r>
        <w:rPr>
          <w:rFonts w:hint="eastAsia" w:ascii="仿宋_GB2312" w:hAnsi="宋体" w:eastAsia="仿宋_GB2312"/>
          <w:sz w:val="32"/>
          <w:szCs w:val="32"/>
        </w:rPr>
        <w:t>万元</w:t>
      </w:r>
      <w:r>
        <w:rPr>
          <w:rFonts w:hint="eastAsia" w:ascii="仿宋_GB2312" w:hAnsi="宋体" w:eastAsia="仿宋_GB2312"/>
          <w:sz w:val="32"/>
          <w:szCs w:val="32"/>
          <w:lang w:eastAsia="zh-CN"/>
        </w:rPr>
        <w:t>，办公设备购置</w:t>
      </w:r>
      <w:r>
        <w:rPr>
          <w:rFonts w:hint="eastAsia" w:ascii="仿宋_GB2312" w:hAnsi="宋体" w:eastAsia="仿宋_GB2312"/>
          <w:sz w:val="32"/>
          <w:szCs w:val="32"/>
          <w:lang w:val="en-US" w:eastAsia="zh-CN"/>
        </w:rPr>
        <w:t>0.39万元</w:t>
      </w:r>
      <w:r>
        <w:rPr>
          <w:rFonts w:hint="eastAsia" w:ascii="仿宋_GB2312" w:hAnsi="宋体" w:eastAsia="仿宋_GB2312"/>
          <w:color w:val="0000FF"/>
          <w:sz w:val="32"/>
          <w:szCs w:val="32"/>
          <w:highlight w:val="none"/>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16.21</w:t>
      </w:r>
      <w:r>
        <w:rPr>
          <w:rFonts w:hint="eastAsia" w:ascii="仿宋_GB2312" w:hAnsi="宋体" w:eastAsia="仿宋_GB2312"/>
          <w:sz w:val="32"/>
          <w:szCs w:val="32"/>
        </w:rPr>
        <w:t>万元，占支出总计的</w:t>
      </w:r>
      <w:r>
        <w:rPr>
          <w:rFonts w:hint="eastAsia" w:ascii="仿宋_GB2312" w:hAnsi="宋体" w:eastAsia="仿宋_GB2312"/>
          <w:sz w:val="32"/>
          <w:szCs w:val="32"/>
          <w:highlight w:val="none"/>
          <w:lang w:val="en-US" w:eastAsia="zh-CN"/>
        </w:rPr>
        <w:t>21.74</w:t>
      </w:r>
      <w:r>
        <w:rPr>
          <w:rFonts w:hint="eastAsia" w:ascii="仿宋_GB2312" w:hAnsi="宋体" w:eastAsia="仿宋_GB2312"/>
          <w:sz w:val="32"/>
          <w:szCs w:val="32"/>
        </w:rPr>
        <w:t>%。主要包括档案馆</w:t>
      </w:r>
      <w:r>
        <w:rPr>
          <w:rFonts w:hint="eastAsia" w:ascii="仿宋_GB2312" w:hAnsi="宋体" w:eastAsia="仿宋_GB2312"/>
          <w:sz w:val="32"/>
          <w:szCs w:val="32"/>
          <w:lang w:val="en-US" w:eastAsia="zh-CN"/>
        </w:rPr>
        <w:t>地方志办公室出版图书费用项目支出和编撰人员经费</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ascii="仿宋" w:hAnsi="仿宋" w:eastAsia="仿宋" w:cs="仿宋"/>
          <w:color w:val="000000"/>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增加11.70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增加18.60</w:t>
      </w:r>
      <w:r>
        <w:rPr>
          <w:rFonts w:hint="eastAsia" w:ascii="仿宋_GB2312" w:hAnsi="宋体" w:eastAsia="仿宋_GB2312"/>
          <w:sz w:val="32"/>
          <w:szCs w:val="32"/>
        </w:rPr>
        <w:t>%。</w:t>
      </w:r>
      <w:r>
        <w:rPr>
          <w:rFonts w:hint="eastAsia" w:ascii="仿宋_GB2312" w:hAnsi="宋体" w:eastAsia="仿宋_GB2312"/>
          <w:color w:val="000000"/>
          <w:sz w:val="32"/>
          <w:szCs w:val="32"/>
        </w:rPr>
        <w:t>主要原因</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工资福利支出、项目支出增加</w:t>
      </w:r>
      <w:r>
        <w:rPr>
          <w:rFonts w:hint="eastAsia" w:ascii="仿宋" w:hAnsi="仿宋" w:eastAsia="仿宋" w:cs="仿宋"/>
          <w:color w:val="000000"/>
          <w:sz w:val="32"/>
          <w:szCs w:val="32"/>
        </w:rPr>
        <w:t>。</w:t>
      </w:r>
    </w:p>
    <w:p>
      <w:pPr>
        <w:numPr>
          <w:ilvl w:val="0"/>
          <w:numId w:val="2"/>
        </w:num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年末结转和结余0万元。</w:t>
      </w:r>
    </w:p>
    <w:p>
      <w:pPr>
        <w:numPr>
          <w:ilvl w:val="0"/>
          <w:numId w:val="0"/>
        </w:numPr>
        <w:spacing w:line="540" w:lineRule="exact"/>
        <w:rPr>
          <w:rFonts w:hint="eastAsia" w:ascii="楷体_GB2312" w:hAnsi="宋体" w:eastAsia="仿宋_GB2312"/>
          <w:b/>
          <w:sz w:val="32"/>
          <w:szCs w:val="32"/>
          <w:lang w:val="en-US" w:eastAsia="zh-CN"/>
        </w:rPr>
      </w:pPr>
      <w:r>
        <w:rPr>
          <w:rFonts w:hint="eastAsia" w:ascii="楷体_GB2312" w:hAnsi="宋体" w:eastAsia="楷体_GB2312"/>
          <w:b/>
          <w:sz w:val="32"/>
          <w:szCs w:val="32"/>
          <w:lang w:val="en-US" w:eastAsia="zh-CN"/>
        </w:rPr>
        <w:t xml:space="preserve">     </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等原因形成的结余。与上年相比，今年结转结余增加（减少）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%，主要原因：</w:t>
      </w:r>
      <w:r>
        <w:rPr>
          <w:rFonts w:hint="eastAsia" w:ascii="黑体" w:hAnsi="黑体" w:eastAsia="黑体"/>
          <w:sz w:val="32"/>
          <w:szCs w:val="32"/>
          <w:lang w:val="en-US" w:eastAsia="zh-CN"/>
        </w:rPr>
        <w:t>0</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74.58</w:t>
      </w:r>
      <w:r>
        <w:rPr>
          <w:rFonts w:hint="eastAsia" w:ascii="仿宋_GB2312" w:hAnsi="宋体" w:eastAsia="仿宋_GB2312"/>
          <w:sz w:val="32"/>
          <w:szCs w:val="32"/>
        </w:rPr>
        <w:t>万万元，其中：基本支出</w:t>
      </w:r>
      <w:r>
        <w:rPr>
          <w:rFonts w:hint="eastAsia" w:ascii="仿宋_GB2312" w:hAnsi="宋体" w:eastAsia="仿宋_GB2312"/>
          <w:sz w:val="32"/>
          <w:szCs w:val="32"/>
          <w:highlight w:val="none"/>
          <w:lang w:val="en-US" w:eastAsia="zh-CN"/>
        </w:rPr>
        <w:t>58.36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16.21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11.70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增加18.60</w:t>
      </w:r>
      <w:r>
        <w:rPr>
          <w:rFonts w:hint="eastAsia" w:ascii="仿宋_GB2312" w:hAnsi="宋体" w:eastAsia="仿宋_GB2312"/>
          <w:sz w:val="32"/>
          <w:szCs w:val="32"/>
        </w:rPr>
        <w:t>%，主要原因：</w:t>
      </w:r>
      <w:r>
        <w:rPr>
          <w:rFonts w:hint="eastAsia" w:ascii="仿宋" w:hAnsi="仿宋" w:eastAsia="仿宋" w:cs="仿宋"/>
          <w:color w:val="000000"/>
          <w:sz w:val="32"/>
          <w:szCs w:val="32"/>
          <w:lang w:eastAsia="zh-CN"/>
        </w:rPr>
        <w:t>工资福利支出、项目支出增加</w:t>
      </w:r>
      <w:r>
        <w:rPr>
          <w:rFonts w:hint="eastAsia" w:ascii="仿宋" w:hAnsi="仿宋" w:eastAsia="仿宋" w:cs="仿宋"/>
          <w:sz w:val="32"/>
          <w:szCs w:val="32"/>
        </w:rPr>
        <w:t>。</w:t>
      </w:r>
      <w:r>
        <w:rPr>
          <w:rFonts w:hint="eastAsia" w:ascii="仿宋_GB2312" w:hAnsi="宋体" w:eastAsia="仿宋_GB2312"/>
          <w:sz w:val="32"/>
          <w:szCs w:val="32"/>
        </w:rPr>
        <w:t>与年初预算相比，</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年度财政拨款支出完成年初预算的</w:t>
      </w:r>
      <w:r>
        <w:rPr>
          <w:rFonts w:hint="eastAsia" w:ascii="仿宋_GB2312" w:hAnsi="宋体" w:eastAsia="仿宋_GB2312"/>
          <w:sz w:val="32"/>
          <w:szCs w:val="32"/>
          <w:lang w:val="en-US" w:eastAsia="zh-CN"/>
        </w:rPr>
        <w:t>122.60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142.65</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81.37</w:t>
      </w:r>
      <w:r>
        <w:rPr>
          <w:rFonts w:hint="eastAsia" w:ascii="仿宋_GB2312" w:hAnsi="宋体" w:eastAsia="仿宋_GB2312"/>
          <w:sz w:val="32"/>
          <w:szCs w:val="32"/>
        </w:rPr>
        <w:t>%。</w:t>
      </w:r>
    </w:p>
    <w:p>
      <w:pPr>
        <w:numPr>
          <w:ilvl w:val="0"/>
          <w:numId w:val="3"/>
        </w:num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numPr>
          <w:ilvl w:val="0"/>
          <w:numId w:val="0"/>
        </w:num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74.58</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62.64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83.99</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6.39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8.56</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2.24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3.00</w:t>
      </w:r>
      <w:r>
        <w:rPr>
          <w:rFonts w:hint="eastAsia" w:ascii="仿宋_GB2312" w:hAnsi="宋体" w:eastAsia="仿宋_GB2312"/>
          <w:sz w:val="32"/>
          <w:szCs w:val="32"/>
        </w:rPr>
        <w:t>%；节能环保支出0万元，占0%；农林水支出0万元，占0%；交通运输支出0万元，占0%；资源勘探信息等支出0万元，占0%；援助其他地区支出0万元，占0%；国土海洋气象等支出0万元，占0%；住房保障支出</w:t>
      </w:r>
      <w:r>
        <w:rPr>
          <w:rFonts w:hint="eastAsia" w:ascii="仿宋_GB2312" w:hAnsi="宋体" w:eastAsia="仿宋_GB2312"/>
          <w:sz w:val="32"/>
          <w:szCs w:val="32"/>
          <w:lang w:val="en-US" w:eastAsia="zh-CN"/>
        </w:rPr>
        <w:t>3.30</w:t>
      </w:r>
      <w:r>
        <w:rPr>
          <w:rFonts w:hint="eastAsia" w:ascii="仿宋_GB2312" w:hAnsi="宋体" w:eastAsia="仿宋_GB2312"/>
          <w:sz w:val="32"/>
          <w:szCs w:val="32"/>
        </w:rPr>
        <w:t>万元，</w:t>
      </w:r>
      <w:r>
        <w:rPr>
          <w:rFonts w:hint="eastAsia" w:ascii="仿宋_GB2312" w:hAnsi="宋体" w:eastAsia="仿宋_GB2312"/>
          <w:color w:val="auto"/>
          <w:sz w:val="32"/>
          <w:szCs w:val="32"/>
        </w:rPr>
        <w:t>占</w:t>
      </w:r>
      <w:r>
        <w:rPr>
          <w:rFonts w:hint="eastAsia" w:ascii="仿宋_GB2312" w:hAnsi="宋体" w:eastAsia="仿宋_GB2312"/>
          <w:color w:val="auto"/>
          <w:sz w:val="32"/>
          <w:szCs w:val="32"/>
          <w:lang w:val="en-US" w:eastAsia="zh-CN"/>
        </w:rPr>
        <w:t>4.42</w:t>
      </w:r>
      <w:r>
        <w:rPr>
          <w:rFonts w:hint="eastAsia" w:ascii="仿宋_GB2312" w:hAnsi="宋体" w:eastAsia="仿宋_GB2312"/>
          <w:color w:val="auto"/>
          <w:sz w:val="32"/>
          <w:szCs w:val="32"/>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62.64</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w:t>
      </w:r>
      <w:r>
        <w:rPr>
          <w:rFonts w:hint="eastAsia" w:ascii="仿宋_GB2312" w:hAnsi="宋体" w:eastAsia="仿宋_GB2312"/>
          <w:sz w:val="32"/>
          <w:szCs w:val="32"/>
          <w:lang w:eastAsia="zh-CN"/>
        </w:rPr>
        <w:t>支出</w:t>
      </w:r>
      <w:r>
        <w:rPr>
          <w:rFonts w:hint="eastAsia" w:ascii="仿宋_GB2312" w:hAnsi="宋体" w:eastAsia="仿宋_GB2312"/>
          <w:sz w:val="32"/>
          <w:szCs w:val="32"/>
          <w:lang w:val="en-US" w:eastAsia="zh-CN"/>
        </w:rPr>
        <w:t>46.43</w:t>
      </w:r>
      <w:r>
        <w:rPr>
          <w:rFonts w:hint="eastAsia" w:ascii="仿宋_GB2312" w:hAnsi="宋体" w:eastAsia="仿宋_GB2312"/>
          <w:sz w:val="32"/>
          <w:szCs w:val="32"/>
        </w:rPr>
        <w:t>万元，</w:t>
      </w:r>
      <w:r>
        <w:rPr>
          <w:rFonts w:hint="eastAsia" w:ascii="仿宋_GB2312" w:hAnsi="宋体" w:eastAsia="仿宋_GB2312"/>
          <w:sz w:val="32"/>
          <w:szCs w:val="32"/>
          <w:lang w:eastAsia="zh-CN"/>
        </w:rPr>
        <w:t>人员经费</w:t>
      </w:r>
      <w:r>
        <w:rPr>
          <w:rFonts w:hint="eastAsia" w:ascii="仿宋_GB2312" w:hAnsi="宋体" w:eastAsia="仿宋_GB2312"/>
          <w:sz w:val="32"/>
          <w:szCs w:val="32"/>
        </w:rPr>
        <w:t>支出，</w:t>
      </w:r>
      <w:r>
        <w:rPr>
          <w:rFonts w:hint="eastAsia" w:ascii="仿宋_GB2312" w:eastAsia="仿宋_GB2312"/>
          <w:sz w:val="32"/>
          <w:szCs w:val="32"/>
        </w:rPr>
        <w:t>日常公用经费等支出，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113.49</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工资福利增加</w:t>
      </w:r>
      <w:r>
        <w:rPr>
          <w:rFonts w:hint="eastAsia" w:ascii="仿宋_GB2312" w:hAnsi="宋体" w:eastAsia="仿宋_GB2312"/>
          <w:sz w:val="32"/>
          <w:szCs w:val="32"/>
          <w:lang w:val="en-US" w:eastAsia="zh-CN"/>
        </w:rPr>
        <w:t>。</w:t>
      </w:r>
    </w:p>
    <w:p>
      <w:pPr>
        <w:spacing w:line="540" w:lineRule="exact"/>
        <w:ind w:firstLine="660"/>
        <w:rPr>
          <w:rFonts w:ascii="仿宋" w:hAnsi="仿宋" w:eastAsia="仿宋" w:cs="仿宋"/>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项目</w:t>
      </w:r>
      <w:r>
        <w:rPr>
          <w:rFonts w:hint="eastAsia" w:ascii="仿宋_GB2312" w:hAnsi="宋体" w:eastAsia="仿宋_GB2312"/>
          <w:sz w:val="32"/>
          <w:szCs w:val="32"/>
        </w:rPr>
        <w:t>支出</w:t>
      </w:r>
      <w:r>
        <w:rPr>
          <w:rFonts w:hint="eastAsia" w:ascii="仿宋_GB2312" w:hAnsi="宋体" w:eastAsia="仿宋_GB2312"/>
          <w:sz w:val="32"/>
          <w:szCs w:val="32"/>
          <w:highlight w:val="none"/>
          <w:lang w:val="en-US" w:eastAsia="zh-CN"/>
        </w:rPr>
        <w:t>16.21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地方志志书出版费用</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81.37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 w:hAnsi="仿宋" w:eastAsia="仿宋" w:cs="仿宋"/>
          <w:sz w:val="32"/>
          <w:szCs w:val="32"/>
        </w:rPr>
        <w:t>决算数小于年初预算数的原因主要是</w:t>
      </w:r>
      <w:r>
        <w:rPr>
          <w:rFonts w:hint="eastAsia" w:ascii="仿宋" w:hAnsi="仿宋" w:eastAsia="仿宋" w:cs="仿宋"/>
          <w:sz w:val="32"/>
          <w:szCs w:val="32"/>
          <w:lang w:val="en-US" w:eastAsia="zh-CN"/>
        </w:rPr>
        <w:t>实际印刷费用减少</w:t>
      </w:r>
      <w:r>
        <w:rPr>
          <w:rFonts w:hint="eastAsia" w:ascii="仿宋" w:hAnsi="仿宋" w:eastAsia="仿宋" w:cs="仿宋"/>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color w:val="auto"/>
          <w:sz w:val="32"/>
          <w:szCs w:val="32"/>
          <w:highlight w:val="none"/>
          <w:lang w:val="en-US" w:eastAsia="zh-CN"/>
        </w:rPr>
        <w:t>6.39</w:t>
      </w:r>
      <w:r>
        <w:rPr>
          <w:rFonts w:hint="eastAsia" w:ascii="仿宋_GB2312" w:hAnsi="宋体" w:eastAsia="仿宋_GB2312"/>
          <w:color w:val="auto"/>
          <w:sz w:val="32"/>
          <w:szCs w:val="32"/>
        </w:rPr>
        <w:t>万</w:t>
      </w:r>
      <w:r>
        <w:rPr>
          <w:rFonts w:hint="eastAsia" w:ascii="仿宋_GB2312" w:hAnsi="宋体" w:eastAsia="仿宋_GB2312"/>
          <w:sz w:val="32"/>
          <w:szCs w:val="32"/>
        </w:rPr>
        <w:t>元，具体包括：</w:t>
      </w:r>
    </w:p>
    <w:p>
      <w:pPr>
        <w:spacing w:line="540" w:lineRule="exact"/>
        <w:ind w:firstLine="660"/>
        <w:rPr>
          <w:rFonts w:hint="eastAsia" w:ascii="仿宋" w:hAnsi="仿宋" w:eastAsia="仿宋" w:cs="仿宋"/>
          <w:sz w:val="32"/>
          <w:szCs w:val="32"/>
          <w:highlight w:val="none"/>
          <w:lang w:eastAsia="zh-CN"/>
        </w:rPr>
      </w:pPr>
      <w:r>
        <w:rPr>
          <w:rFonts w:hint="eastAsia" w:ascii="仿宋_GB2312" w:hAnsi="宋体" w:eastAsia="仿宋_GB2312"/>
          <w:sz w:val="32"/>
          <w:szCs w:val="32"/>
        </w:rPr>
        <w:t>（1）</w:t>
      </w:r>
      <w:r>
        <w:rPr>
          <w:rFonts w:hint="eastAsia" w:ascii="仿宋" w:hAnsi="仿宋" w:eastAsia="仿宋" w:cs="仿宋"/>
          <w:sz w:val="32"/>
          <w:szCs w:val="32"/>
        </w:rPr>
        <w:t>行政事业单位离退休</w:t>
      </w:r>
      <w:r>
        <w:rPr>
          <w:rFonts w:hint="eastAsia" w:ascii="仿宋" w:hAnsi="仿宋" w:eastAsia="仿宋" w:cs="仿宋"/>
          <w:sz w:val="32"/>
          <w:szCs w:val="32"/>
          <w:highlight w:val="none"/>
          <w:lang w:val="en-US" w:eastAsia="zh-CN"/>
        </w:rPr>
        <w:t>0.71</w:t>
      </w:r>
      <w:r>
        <w:rPr>
          <w:rFonts w:hint="eastAsia" w:ascii="仿宋" w:hAnsi="仿宋" w:eastAsia="仿宋" w:cs="仿宋"/>
          <w:sz w:val="32"/>
          <w:szCs w:val="32"/>
          <w:highlight w:val="none"/>
        </w:rPr>
        <w:t>万元，主要是离退休费支出，完成年初预算的</w:t>
      </w:r>
      <w:r>
        <w:rPr>
          <w:rFonts w:hint="eastAsia" w:ascii="仿宋" w:hAnsi="仿宋" w:eastAsia="仿宋" w:cs="仿宋"/>
          <w:sz w:val="32"/>
          <w:szCs w:val="32"/>
          <w:highlight w:val="none"/>
          <w:lang w:val="en-US" w:eastAsia="zh-CN"/>
        </w:rPr>
        <w:t>91.02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（2）机关事业单位基本养老保险缴费</w:t>
      </w:r>
      <w:r>
        <w:rPr>
          <w:rFonts w:hint="eastAsia" w:ascii="仿宋_GB2312" w:hAnsi="宋体" w:eastAsia="仿宋_GB2312"/>
          <w:sz w:val="32"/>
          <w:szCs w:val="32"/>
          <w:highlight w:val="none"/>
          <w:lang w:val="en-US" w:eastAsia="zh-CN"/>
        </w:rPr>
        <w:t>5.58</w:t>
      </w:r>
      <w:r>
        <w:rPr>
          <w:rFonts w:hint="eastAsia" w:ascii="仿宋_GB2312" w:hAnsi="宋体" w:eastAsia="仿宋_GB2312"/>
          <w:sz w:val="32"/>
          <w:szCs w:val="32"/>
          <w:highlight w:val="none"/>
        </w:rPr>
        <w:t>万元，主要是基本养老保险缴费支出，完成年初预算的</w:t>
      </w:r>
      <w:r>
        <w:rPr>
          <w:rFonts w:hint="eastAsia" w:ascii="仿宋_GB2312" w:hAnsi="宋体" w:eastAsia="仿宋_GB2312"/>
          <w:sz w:val="32"/>
          <w:szCs w:val="32"/>
          <w:highlight w:val="none"/>
          <w:lang w:val="en-US" w:eastAsia="zh-CN"/>
        </w:rPr>
        <w:t>124.55</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（3）伤残抚恤</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万元，主要是伤残抚恤支出，完成年初预算的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%，决算数大于年初预算数的原因主要是伤残补助增加。</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（4）其他社会保障和就业支出</w:t>
      </w:r>
      <w:r>
        <w:rPr>
          <w:rFonts w:hint="eastAsia" w:ascii="仿宋_GB2312" w:hAnsi="宋体" w:eastAsia="仿宋_GB2312"/>
          <w:sz w:val="32"/>
          <w:szCs w:val="32"/>
          <w:highlight w:val="none"/>
          <w:lang w:val="en-US" w:eastAsia="zh-CN"/>
        </w:rPr>
        <w:t>0.1</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highlight w:val="none"/>
          <w:lang w:val="en-US" w:eastAsia="zh-CN"/>
        </w:rPr>
        <w:t>2.24</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（1）行政单位医疗0万元，主要是0等支出，完成年初预算的0%，决算数小于（大于）年初预算数的原因主要是0。</w:t>
      </w:r>
    </w:p>
    <w:p>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（2）事业单位医疗</w:t>
      </w:r>
      <w:r>
        <w:rPr>
          <w:rFonts w:hint="eastAsia" w:ascii="仿宋_GB2312" w:hAnsi="宋体" w:eastAsia="仿宋_GB2312"/>
          <w:sz w:val="32"/>
          <w:szCs w:val="32"/>
          <w:highlight w:val="none"/>
          <w:lang w:val="en-US" w:eastAsia="zh-CN"/>
        </w:rPr>
        <w:t>2.20</w:t>
      </w:r>
      <w:r>
        <w:rPr>
          <w:rFonts w:hint="eastAsia" w:ascii="仿宋_GB2312" w:hAnsi="宋体" w:eastAsia="仿宋_GB2312"/>
          <w:sz w:val="32"/>
          <w:szCs w:val="32"/>
          <w:highlight w:val="none"/>
        </w:rPr>
        <w:t>万元，主要是事业单位医疗支出，完成年初预算的</w:t>
      </w:r>
      <w:r>
        <w:rPr>
          <w:rFonts w:hint="eastAsia" w:ascii="仿宋_GB2312" w:hAnsi="宋体" w:eastAsia="仿宋_GB2312"/>
          <w:sz w:val="32"/>
          <w:szCs w:val="32"/>
          <w:highlight w:val="none"/>
          <w:lang w:val="en-US" w:eastAsia="zh-CN"/>
        </w:rPr>
        <w:t>134.14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3）其他事业单位医疗支出0.04万元。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w:t>
      </w:r>
      <w:r>
        <w:rPr>
          <w:rFonts w:hint="eastAsia" w:ascii="仿宋_GB2312" w:hAnsi="宋体" w:eastAsia="仿宋_GB2312"/>
          <w:sz w:val="32"/>
          <w:szCs w:val="32"/>
          <w:highlight w:val="none"/>
          <w:lang w:val="en-US" w:eastAsia="zh-CN"/>
        </w:rPr>
        <w:t>3.30</w:t>
      </w:r>
      <w:r>
        <w:rPr>
          <w:rFonts w:hint="eastAsia" w:ascii="仿宋_GB2312" w:hAnsi="宋体" w:eastAsia="仿宋_GB2312"/>
          <w:sz w:val="32"/>
          <w:szCs w:val="32"/>
        </w:rPr>
        <w:t>万元，具体包括：</w:t>
      </w:r>
    </w:p>
    <w:p>
      <w:pPr>
        <w:spacing w:line="540" w:lineRule="exact"/>
        <w:ind w:firstLine="660"/>
        <w:rPr>
          <w:rFonts w:hint="eastAsia" w:ascii="仿宋" w:hAnsi="仿宋" w:eastAsia="仿宋" w:cs="仿宋"/>
          <w:sz w:val="32"/>
          <w:szCs w:val="32"/>
          <w:highlight w:val="none"/>
        </w:rPr>
      </w:pPr>
      <w:r>
        <w:rPr>
          <w:rFonts w:hint="eastAsia" w:ascii="仿宋_GB2312" w:hAnsi="宋体" w:eastAsia="仿宋_GB2312"/>
          <w:sz w:val="32"/>
          <w:szCs w:val="32"/>
        </w:rPr>
        <w:t>住房公积金</w:t>
      </w:r>
      <w:r>
        <w:rPr>
          <w:rFonts w:hint="eastAsia" w:ascii="仿宋_GB2312" w:hAnsi="宋体" w:eastAsia="仿宋_GB2312"/>
          <w:sz w:val="32"/>
          <w:szCs w:val="32"/>
          <w:highlight w:val="none"/>
          <w:lang w:val="en-US" w:eastAsia="zh-CN"/>
        </w:rPr>
        <w:t>3.30</w:t>
      </w:r>
      <w:r>
        <w:rPr>
          <w:rFonts w:hint="eastAsia" w:ascii="仿宋_GB2312" w:hAnsi="宋体" w:eastAsia="仿宋_GB2312"/>
          <w:sz w:val="32"/>
          <w:szCs w:val="32"/>
        </w:rPr>
        <w:t>万元，主要是住房公积金支出，</w:t>
      </w:r>
      <w:r>
        <w:rPr>
          <w:rFonts w:hint="eastAsia" w:ascii="仿宋" w:hAnsi="仿宋" w:eastAsia="仿宋" w:cs="仿宋"/>
          <w:sz w:val="32"/>
          <w:szCs w:val="32"/>
        </w:rPr>
        <w:t>完成年初预算的</w:t>
      </w:r>
      <w:r>
        <w:rPr>
          <w:rFonts w:hint="eastAsia" w:ascii="仿宋" w:hAnsi="仿宋" w:eastAsia="仿宋" w:cs="仿宋"/>
          <w:sz w:val="32"/>
          <w:szCs w:val="32"/>
          <w:highlight w:val="none"/>
          <w:lang w:val="en-US" w:eastAsia="zh-CN"/>
        </w:rPr>
        <w:t>119.13</w:t>
      </w:r>
      <w:r>
        <w:rPr>
          <w:rFonts w:hint="eastAsia" w:ascii="仿宋" w:hAnsi="仿宋" w:eastAsia="仿宋" w:cs="仿宋"/>
          <w:sz w:val="32"/>
          <w:szCs w:val="32"/>
          <w:highlight w:val="none"/>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 w:hAnsi="仿宋" w:eastAsia="仿宋" w:cs="仿宋"/>
          <w:sz w:val="32"/>
          <w:szCs w:val="32"/>
          <w:highlight w:val="none"/>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黑体" w:hAnsi="黑体" w:eastAsia="黑体"/>
          <w:sz w:val="32"/>
          <w:szCs w:val="32"/>
          <w:highlight w:val="yellow"/>
        </w:rPr>
      </w:pPr>
      <w:r>
        <w:rPr>
          <w:rFonts w:hint="eastAsia" w:ascii="黑体" w:hAnsi="黑体" w:eastAsia="黑体"/>
          <w:sz w:val="32"/>
          <w:szCs w:val="32"/>
          <w:highlight w:val="none"/>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一般公共预算财政拨款安排的“三公”经费支出0万元，完成年初预算的0%，决算数小于（大于）年初预算数的主要原因是0。其中：因公出国（境）费0万元，公务接待费0万元，公务用车购置及运行维护费0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w:t>
      </w:r>
      <w:r>
        <w:rPr>
          <w:rFonts w:hint="eastAsia" w:ascii="仿宋_GB2312" w:hAnsi="宋体" w:eastAsia="仿宋_GB2312"/>
          <w:sz w:val="32"/>
          <w:szCs w:val="32"/>
          <w:lang w:eastAsia="zh-CN"/>
        </w:rPr>
        <w:t>全年预算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全年预算数</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ascii="仿宋_GB2312" w:hAnsi="宋体" w:eastAsia="仿宋_GB2312"/>
          <w:sz w:val="32"/>
          <w:szCs w:val="32"/>
        </w:rPr>
        <w:t>XX</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58.36</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54.56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3.80</w:t>
      </w:r>
      <w:r>
        <w:rPr>
          <w:rFonts w:hint="eastAsia" w:ascii="仿宋_GB2312" w:hAnsi="宋体" w:eastAsia="仿宋_GB2312"/>
          <w:sz w:val="32"/>
          <w:szCs w:val="32"/>
        </w:rPr>
        <w:t>万元，主要包括办公费、印刷费、手续费、维修（护）费、其他商品和服务支出、办公设备购置、专用设备购置。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z w:val="32"/>
          <w:szCs w:val="32"/>
        </w:rPr>
        <w:t>年双台子区档案馆机关运行经费支出</w:t>
      </w:r>
      <w:r>
        <w:rPr>
          <w:rFonts w:hint="eastAsia" w:ascii="仿宋" w:hAnsi="仿宋" w:eastAsia="仿宋" w:cs="仿宋"/>
          <w:sz w:val="32"/>
          <w:szCs w:val="32"/>
          <w:lang w:val="en-US" w:eastAsia="zh-CN"/>
        </w:rPr>
        <w:t>3.8</w:t>
      </w:r>
      <w:r>
        <w:rPr>
          <w:rFonts w:hint="eastAsia" w:ascii="仿宋" w:hAnsi="仿宋" w:eastAsia="仿宋" w:cs="仿宋"/>
          <w:sz w:val="32"/>
          <w:szCs w:val="32"/>
        </w:rPr>
        <w:t>万元，比上年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0.47</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14.11</w:t>
      </w:r>
      <w:r>
        <w:rPr>
          <w:rFonts w:hint="eastAsia" w:ascii="仿宋" w:hAnsi="仿宋" w:eastAsia="仿宋" w:cs="仿宋"/>
          <w:sz w:val="32"/>
          <w:szCs w:val="32"/>
        </w:rPr>
        <w:t>%，主要原因是</w:t>
      </w:r>
      <w:r>
        <w:rPr>
          <w:rFonts w:hint="eastAsia" w:ascii="仿宋" w:hAnsi="仿宋" w:eastAsia="仿宋" w:cs="仿宋"/>
          <w:sz w:val="32"/>
          <w:szCs w:val="32"/>
          <w:lang w:eastAsia="zh-CN"/>
        </w:rPr>
        <w:t>办公设购购置增加</w:t>
      </w:r>
      <w:r>
        <w:rPr>
          <w:rFonts w:hint="eastAsia" w:ascii="仿宋" w:hAnsi="仿宋" w:eastAsia="仿宋" w:cs="仿宋"/>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年12月31日，档案馆共有车辆0辆，其中：副省级以上领导干部用车0辆，主要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numPr>
          <w:ilvl w:val="0"/>
          <w:numId w:val="4"/>
        </w:num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default" w:ascii="楷体_GB2312" w:hAnsi="宋体" w:eastAsia="楷体_GB2312"/>
          <w:b/>
          <w:sz w:val="32"/>
          <w:szCs w:val="32"/>
          <w:lang w:val="en-US" w:eastAsia="zh-CN"/>
        </w:rPr>
      </w:pPr>
      <w:r>
        <w:rPr>
          <w:rFonts w:hint="eastAsia" w:ascii="楷体_GB2312" w:hAnsi="宋体" w:eastAsia="楷体_GB2312"/>
          <w:b/>
          <w:sz w:val="32"/>
          <w:szCs w:val="32"/>
          <w:lang w:val="en-US" w:eastAsia="zh-CN"/>
        </w:rPr>
        <w:t xml:space="preserve"> </w:t>
      </w: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2022</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/年初批复绩效目标的项目数*100%）达到</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shd w:val="clear" w:color="auto" w:fill="auto"/>
        </w:rPr>
      </w:pP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color w:val="auto"/>
          <w:kern w:val="2"/>
          <w:sz w:val="32"/>
          <w:szCs w:val="32"/>
          <w:highlight w:val="none"/>
          <w:shd w:val="clear" w:color="auto" w:fill="auto"/>
          <w:lang w:val="en" w:eastAsia="zh-CN" w:bidi="ar"/>
        </w:rPr>
      </w:pPr>
      <w:r>
        <w:rPr>
          <w:rFonts w:hint="eastAsia" w:hAnsi="宋体" w:eastAsia="仿宋_GB2312" w:cs="仿宋_GB2312"/>
          <w:color w:val="auto"/>
          <w:kern w:val="2"/>
          <w:sz w:val="32"/>
          <w:szCs w:val="32"/>
          <w:highlight w:val="none"/>
          <w:shd w:val="clear" w:color="auto" w:fill="auto"/>
          <w:lang w:val="en-US" w:eastAsia="zh-CN" w:bidi="ar"/>
        </w:rPr>
        <w:t>本部门</w:t>
      </w:r>
      <w:r>
        <w:rPr>
          <w:rFonts w:hint="eastAsia" w:ascii="仿宋" w:hAnsi="仿宋" w:eastAsia="仿宋"/>
          <w:sz w:val="32"/>
          <w:highlight w:val="none"/>
          <w:shd w:val="clear" w:color="auto" w:fill="auto"/>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shd w:val="clear" w:color="auto" w:fill="auto"/>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shd w:val="clear" w:color="auto" w:fill="auto"/>
        </w:rPr>
        <w:t>”等</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shd w:val="clear" w:color="auto" w:fill="auto"/>
        </w:rPr>
        <w:t xml:space="preserve"> 个项目开展了部门评价</w:t>
      </w:r>
      <w:r>
        <w:rPr>
          <w:rFonts w:hint="eastAsia" w:ascii="仿宋" w:hAnsi="仿宋" w:eastAsia="仿宋"/>
          <w:sz w:val="32"/>
          <w:highlight w:val="none"/>
          <w:shd w:val="clear" w:color="auto" w:fill="auto"/>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w:t>
      </w:r>
      <w:r>
        <w:rPr>
          <w:rFonts w:hint="eastAsia" w:ascii="仿宋_GB2312" w:hAnsi="宋体" w:eastAsia="仿宋_GB2312" w:cs="仿宋_GB2312"/>
          <w:color w:val="auto"/>
          <w:kern w:val="2"/>
          <w:sz w:val="32"/>
          <w:szCs w:val="32"/>
          <w:highlight w:val="none"/>
          <w:shd w:val="clear" w:color="auto" w:fill="auto"/>
          <w:lang w:val="en-US" w:eastAsia="zh-CN" w:bidi="ar"/>
        </w:rPr>
        <w:t>（其中：一般公共预算资金XX万元，政府性基金预算资金0万元，国有资本经营预算资金XX万元）</w:t>
      </w:r>
      <w:r>
        <w:rPr>
          <w:rFonts w:hint="eastAsia" w:hAnsi="宋体" w:eastAsia="仿宋_GB2312" w:cs="仿宋_GB2312"/>
          <w:color w:val="auto"/>
          <w:kern w:val="2"/>
          <w:sz w:val="32"/>
          <w:szCs w:val="32"/>
          <w:highlight w:val="none"/>
          <w:shd w:val="clear" w:color="auto" w:fill="auto"/>
          <w:lang w:val="en-US" w:eastAsia="zh-CN" w:bidi="ar"/>
        </w:rPr>
        <w:t>。从评价情况来看，</w:t>
      </w:r>
      <w:r>
        <w:rPr>
          <w:rFonts w:hint="default" w:hAnsi="宋体" w:eastAsia="仿宋_GB2312" w:cs="仿宋_GB2312"/>
          <w:color w:val="auto"/>
          <w:kern w:val="2"/>
          <w:sz w:val="32"/>
          <w:szCs w:val="32"/>
          <w:highlight w:val="none"/>
          <w:shd w:val="clear" w:color="auto" w:fill="auto"/>
          <w:lang w:val="en" w:eastAsia="zh-CN" w:bidi="ar"/>
        </w:rPr>
        <w:t>... ...</w:t>
      </w:r>
      <w:r>
        <w:rPr>
          <w:rFonts w:hint="eastAsia" w:hAnsi="宋体" w:eastAsia="仿宋_GB2312" w:cs="仿宋_GB2312"/>
          <w:color w:val="auto"/>
          <w:kern w:val="2"/>
          <w:sz w:val="32"/>
          <w:szCs w:val="32"/>
          <w:highlight w:val="none"/>
          <w:shd w:val="clear" w:color="auto" w:fill="auto"/>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本部门在2022年度省直部门决算中反映0、0等0个项目绩效自评结果。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（1）“0”项目自评综述：根据年初设定的绩效目标，项目自评得分0分。项目全年预算数为0万元，执行数为XX万元，完成预算的0%。项目绩效目标完成情况：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0。发现的主要问题及原因：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0。下一步改进措施：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（2）“0”项目自评综述：……。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《预算（项目）政策绩效自评表》见附件。</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部门评价结果。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 xml:space="preserve"> </w:t>
      </w:r>
      <w:r>
        <w:rPr>
          <w:rFonts w:hint="eastAsia" w:ascii="仿宋_GB2312" w:hAnsi="宋体" w:eastAsia="仿宋_GB2312" w:cs="仿宋_GB2312"/>
          <w:b w:val="0"/>
          <w:bCs w:val="0"/>
          <w:color w:val="auto"/>
          <w:kern w:val="2"/>
          <w:sz w:val="32"/>
          <w:szCs w:val="32"/>
          <w:highlight w:val="none"/>
          <w:shd w:val="clear" w:color="auto" w:fill="auto"/>
          <w:lang w:val="en-US" w:eastAsia="zh-CN" w:bidi="ar"/>
        </w:rPr>
        <w:t>进一步规范预算绩效管理。</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财政评价结果。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val="0"/>
          <w:bCs w:val="0"/>
          <w:color w:val="auto"/>
          <w:kern w:val="2"/>
          <w:sz w:val="32"/>
          <w:szCs w:val="32"/>
          <w:highlight w:val="none"/>
          <w:shd w:val="clear" w:color="auto" w:fill="auto"/>
          <w:lang w:val="en-US" w:eastAsia="zh-CN" w:bidi="ar"/>
        </w:rPr>
        <w:t>保持标建基本稳定的前提下，对服务项目、服务标准、服务内容，形成方案，提升服务水平。</w:t>
      </w:r>
      <w:r>
        <w:rPr>
          <w:rFonts w:hint="eastAsia" w:ascii="仿宋_GB2312" w:hAnsi="宋体" w:eastAsia="仿宋_GB2312" w:cs="仿宋_GB2312"/>
          <w:b/>
          <w:bCs/>
          <w:color w:val="auto"/>
          <w:kern w:val="2"/>
          <w:sz w:val="32"/>
          <w:szCs w:val="32"/>
          <w:highlight w:val="none"/>
          <w:shd w:val="clear" w:color="auto" w:fill="auto"/>
          <w:lang w:val="en-US" w:eastAsia="zh-CN" w:bidi="ar"/>
        </w:rPr>
        <w:tab/>
      </w:r>
      <w:r>
        <w:rPr>
          <w:rFonts w:hint="eastAsia" w:ascii="仿宋_GB2312" w:hAnsi="宋体" w:eastAsia="仿宋_GB2312" w:cs="仿宋_GB2312"/>
          <w:b/>
          <w:bCs/>
          <w:color w:val="auto"/>
          <w:kern w:val="2"/>
          <w:sz w:val="32"/>
          <w:szCs w:val="32"/>
          <w:highlight w:val="none"/>
          <w:shd w:val="clear" w:color="auto" w:fill="auto"/>
          <w:lang w:val="en-US" w:eastAsia="zh-CN" w:bidi="ar"/>
        </w:rPr>
        <w:tab/>
      </w:r>
      <w:r>
        <w:rPr>
          <w:rFonts w:hint="eastAsia" w:ascii="仿宋_GB2312" w:hAnsi="宋体" w:eastAsia="仿宋_GB2312" w:cs="仿宋_GB2312"/>
          <w:b/>
          <w:bCs/>
          <w:color w:val="auto"/>
          <w:kern w:val="2"/>
          <w:sz w:val="32"/>
          <w:szCs w:val="32"/>
          <w:highlight w:val="none"/>
          <w:shd w:val="clear" w:color="auto" w:fill="auto"/>
          <w:lang w:val="en-US" w:eastAsia="zh-CN" w:bidi="ar"/>
        </w:rPr>
        <w:tab/>
      </w:r>
      <w:r>
        <w:rPr>
          <w:rFonts w:hint="eastAsia" w:ascii="仿宋_GB2312" w:hAnsi="宋体" w:eastAsia="仿宋_GB2312" w:cs="仿宋_GB2312"/>
          <w:b/>
          <w:bCs/>
          <w:color w:val="auto"/>
          <w:kern w:val="2"/>
          <w:sz w:val="32"/>
          <w:szCs w:val="32"/>
          <w:highlight w:val="none"/>
          <w:shd w:val="clear" w:color="auto" w:fill="auto"/>
          <w:lang w:val="en-US" w:eastAsia="zh-CN" w:bidi="ar"/>
        </w:rPr>
        <w:tab/>
      </w:r>
      <w:r>
        <w:rPr>
          <w:rFonts w:hint="eastAsia" w:ascii="仿宋_GB2312" w:hAnsi="宋体" w:eastAsia="仿宋_GB2312" w:cs="仿宋_GB2312"/>
          <w:b/>
          <w:bCs/>
          <w:color w:val="auto"/>
          <w:kern w:val="2"/>
          <w:sz w:val="32"/>
          <w:szCs w:val="32"/>
          <w:highlight w:val="none"/>
          <w:shd w:val="clear" w:color="auto" w:fill="auto"/>
          <w:lang w:val="en-US" w:eastAsia="zh-CN" w:bidi="ar"/>
        </w:rPr>
        <w:tab/>
      </w:r>
      <w:r>
        <w:rPr>
          <w:rFonts w:hint="eastAsia" w:ascii="仿宋_GB2312" w:hAnsi="宋体" w:eastAsia="仿宋_GB2312" w:cs="仿宋_GB2312"/>
          <w:b/>
          <w:bCs/>
          <w:color w:val="auto"/>
          <w:kern w:val="2"/>
          <w:sz w:val="32"/>
          <w:szCs w:val="32"/>
          <w:highlight w:val="none"/>
          <w:shd w:val="clear" w:color="auto" w:fill="auto"/>
          <w:lang w:val="en-US" w:eastAsia="zh-CN" w:bidi="ar"/>
        </w:rPr>
        <w:tab/>
      </w:r>
      <w:r>
        <w:rPr>
          <w:rFonts w:hint="eastAsia" w:ascii="仿宋_GB2312" w:hAnsi="宋体" w:eastAsia="仿宋_GB2312" w:cs="仿宋_GB2312"/>
          <w:b/>
          <w:bCs/>
          <w:color w:val="auto"/>
          <w:kern w:val="2"/>
          <w:sz w:val="32"/>
          <w:szCs w:val="32"/>
          <w:highlight w:val="none"/>
          <w:shd w:val="clear" w:color="auto" w:fill="auto"/>
          <w:lang w:val="en-US" w:eastAsia="zh-CN" w:bidi="ar"/>
        </w:rPr>
        <w:tab/>
      </w:r>
      <w:r>
        <w:rPr>
          <w:rFonts w:hint="eastAsia" w:ascii="仿宋_GB2312" w:hAnsi="宋体" w:eastAsia="仿宋_GB2312" w:cs="仿宋_GB2312"/>
          <w:b/>
          <w:bCs/>
          <w:color w:val="auto"/>
          <w:kern w:val="2"/>
          <w:sz w:val="32"/>
          <w:szCs w:val="32"/>
          <w:highlight w:val="none"/>
          <w:shd w:val="clear" w:color="auto" w:fill="auto"/>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hAnsi="宋体" w:eastAsia="仿宋_GB2312" w:cs="仿宋_GB2312"/>
          <w:color w:val="auto"/>
          <w:kern w:val="2"/>
          <w:sz w:val="32"/>
          <w:szCs w:val="32"/>
          <w:highlight w:val="none"/>
          <w:shd w:val="clear" w:color="auto" w:fill="auto"/>
          <w:lang w:val="en"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i/>
          <w:sz w:val="32"/>
          <w:szCs w:val="32"/>
          <w:u w:val="single"/>
        </w:rPr>
      </w:pPr>
      <w:r>
        <w:rPr>
          <w:rFonts w:hint="eastAsia" w:ascii="仿宋_GB2312" w:eastAsia="仿宋_GB2312"/>
          <w:i/>
          <w:sz w:val="32"/>
          <w:szCs w:val="32"/>
          <w:u w:val="single"/>
        </w:rPr>
        <w:t>（部门决算涉及的支出功能分类全部项级科目，逐一解释）……</w:t>
      </w:r>
    </w:p>
    <w:p>
      <w:pPr>
        <w:spacing w:line="540" w:lineRule="exact"/>
        <w:ind w:firstLine="640" w:firstLineChars="200"/>
        <w:rPr>
          <w:rFonts w:hint="eastAsia" w:ascii="仿宋_GB2312" w:eastAsia="仿宋_GB2312"/>
          <w:i/>
          <w:sz w:val="32"/>
          <w:szCs w:val="32"/>
          <w:u w:val="single"/>
        </w:rPr>
      </w:pPr>
    </w:p>
    <w:p>
      <w:pPr>
        <w:spacing w:line="540" w:lineRule="exact"/>
        <w:ind w:firstLine="640" w:firstLineChars="200"/>
        <w:rPr>
          <w:rFonts w:hint="eastAsia" w:ascii="仿宋_GB2312" w:eastAsia="仿宋_GB2312"/>
          <w:i/>
          <w:sz w:val="32"/>
          <w:szCs w:val="32"/>
          <w:u w:val="single"/>
        </w:rPr>
      </w:pPr>
    </w:p>
    <w:p>
      <w:pPr>
        <w:spacing w:line="540" w:lineRule="exact"/>
        <w:ind w:firstLine="640" w:firstLineChars="200"/>
        <w:rPr>
          <w:rFonts w:hint="eastAsia" w:ascii="仿宋_GB2312" w:eastAsia="仿宋_GB2312"/>
          <w:i/>
          <w:sz w:val="32"/>
          <w:szCs w:val="32"/>
          <w:u w:val="single"/>
        </w:rPr>
      </w:pPr>
    </w:p>
    <w:p>
      <w:pPr>
        <w:spacing w:line="540" w:lineRule="exact"/>
        <w:ind w:firstLine="640" w:firstLineChars="200"/>
        <w:rPr>
          <w:rFonts w:hint="eastAsia" w:ascii="仿宋_GB2312" w:eastAsia="仿宋_GB2312"/>
          <w:i/>
          <w:sz w:val="32"/>
          <w:szCs w:val="32"/>
          <w:u w:val="single"/>
        </w:rPr>
      </w:pPr>
    </w:p>
    <w:p>
      <w:pPr>
        <w:spacing w:line="540" w:lineRule="exact"/>
        <w:ind w:firstLine="640" w:firstLineChars="200"/>
        <w:rPr>
          <w:rFonts w:hint="eastAsia" w:ascii="仿宋_GB2312" w:eastAsia="仿宋_GB2312"/>
          <w:i/>
          <w:sz w:val="32"/>
          <w:szCs w:val="32"/>
          <w:u w:val="single"/>
        </w:rPr>
      </w:pPr>
    </w:p>
    <w:p>
      <w:pPr>
        <w:spacing w:line="540" w:lineRule="exact"/>
        <w:ind w:firstLine="640" w:firstLineChars="200"/>
        <w:rPr>
          <w:rFonts w:hint="eastAsia" w:ascii="仿宋_GB2312" w:eastAsia="仿宋_GB2312"/>
          <w:i/>
          <w:sz w:val="32"/>
          <w:szCs w:val="32"/>
          <w:u w:val="single"/>
        </w:rPr>
      </w:pPr>
    </w:p>
    <w:p>
      <w:pPr>
        <w:spacing w:line="540" w:lineRule="exact"/>
        <w:ind w:firstLine="640" w:firstLineChars="200"/>
        <w:rPr>
          <w:rFonts w:hint="eastAsia" w:ascii="仿宋_GB2312" w:eastAsia="仿宋_GB2312"/>
          <w:i/>
          <w:sz w:val="32"/>
          <w:szCs w:val="32"/>
          <w:u w:val="single"/>
        </w:rPr>
      </w:pPr>
    </w:p>
    <w:p>
      <w:pPr>
        <w:spacing w:line="540" w:lineRule="exact"/>
        <w:rPr>
          <w:sz w:val="32"/>
          <w:szCs w:val="3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52"/>
          <w:szCs w:val="52"/>
        </w:rPr>
        <w:t xml:space="preserve">第四部分 </w:t>
      </w:r>
      <w:r>
        <w:rPr>
          <w:rFonts w:hint="eastAsia" w:ascii="宋体" w:hAnsi="宋体"/>
          <w:b/>
          <w:sz w:val="52"/>
          <w:szCs w:val="52"/>
          <w:lang w:eastAsia="zh-CN"/>
        </w:rPr>
        <w:t>2022</w:t>
      </w:r>
      <w:r>
        <w:rPr>
          <w:rFonts w:hint="eastAsia" w:ascii="宋体" w:hAnsi="宋体"/>
          <w:b/>
          <w:sz w:val="52"/>
          <w:szCs w:val="52"/>
        </w:rPr>
        <w:t>年度部门决算表</w:t>
      </w:r>
    </w:p>
    <w:p>
      <w:pPr>
        <w:rPr>
          <w:rFonts w:hint="eastAsia" w:ascii="宋体" w:hAnsi="宋体"/>
          <w:b/>
          <w:sz w:val="52"/>
          <w:szCs w:val="52"/>
        </w:rPr>
      </w:pPr>
    </w:p>
    <w:p>
      <w:pPr>
        <w:rPr>
          <w:rFonts w:hint="eastAsia" w:ascii="宋体" w:hAnsi="宋体"/>
          <w:b/>
          <w:sz w:val="52"/>
          <w:szCs w:val="52"/>
        </w:rPr>
      </w:pPr>
    </w:p>
    <w:p>
      <w:pPr>
        <w:rPr>
          <w:rFonts w:hint="eastAsia" w:ascii="宋体" w:hAnsi="宋体"/>
          <w:b/>
          <w:sz w:val="52"/>
          <w:szCs w:val="52"/>
        </w:rPr>
      </w:pPr>
    </w:p>
    <w:p>
      <w:pPr>
        <w:rPr>
          <w:rFonts w:hint="eastAsia" w:ascii="宋体" w:hAnsi="宋体"/>
          <w:b/>
          <w:sz w:val="52"/>
          <w:szCs w:val="52"/>
        </w:rPr>
      </w:pPr>
    </w:p>
    <w:p>
      <w:pPr>
        <w:jc w:val="center"/>
      </w:pPr>
      <w:bookmarkStart w:id="0" w:name="_GoBack"/>
      <w:bookmarkEnd w:id="0"/>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53319"/>
    <w:multiLevelType w:val="singleLevel"/>
    <w:tmpl w:val="E3153319"/>
    <w:lvl w:ilvl="0" w:tentative="0">
      <w:start w:val="4"/>
      <w:numFmt w:val="chineseCounting"/>
      <w:suff w:val="nothing"/>
      <w:lvlText w:val="（%1）"/>
      <w:lvlJc w:val="left"/>
      <w:rPr>
        <w:rFonts w:hint="eastAsia"/>
      </w:rPr>
    </w:lvl>
  </w:abstractNum>
  <w:abstractNum w:abstractNumId="1">
    <w:nsid w:val="157B3840"/>
    <w:multiLevelType w:val="singleLevel"/>
    <w:tmpl w:val="157B3840"/>
    <w:lvl w:ilvl="0" w:tentative="0">
      <w:start w:val="3"/>
      <w:numFmt w:val="chineseCounting"/>
      <w:suff w:val="nothing"/>
      <w:lvlText w:val="（%1）"/>
      <w:lvlJc w:val="left"/>
      <w:rPr>
        <w:rFonts w:hint="eastAsia"/>
      </w:rPr>
    </w:lvl>
  </w:abstractNum>
  <w:abstractNum w:abstractNumId="2">
    <w:nsid w:val="24A5E8CA"/>
    <w:multiLevelType w:val="singleLevel"/>
    <w:tmpl w:val="24A5E8CA"/>
    <w:lvl w:ilvl="0" w:tentative="0">
      <w:start w:val="2"/>
      <w:numFmt w:val="chineseCounting"/>
      <w:suff w:val="nothing"/>
      <w:lvlText w:val="（%1）"/>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33A5994"/>
    <w:multiLevelType w:val="singleLevel"/>
    <w:tmpl w:val="733A5994"/>
    <w:lvl w:ilvl="0" w:tentative="0">
      <w:start w:val="3"/>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2ZDlhYTUzMGI4NGQ2MzQyZjBmY2YxOWJlZTBlMTkifQ=="/>
  </w:docVars>
  <w:rsids>
    <w:rsidRoot w:val="00AB3395"/>
    <w:rsid w:val="0012457B"/>
    <w:rsid w:val="00395CCF"/>
    <w:rsid w:val="004B1392"/>
    <w:rsid w:val="004B23D9"/>
    <w:rsid w:val="005C71F7"/>
    <w:rsid w:val="006A697F"/>
    <w:rsid w:val="0077390E"/>
    <w:rsid w:val="00786609"/>
    <w:rsid w:val="009D7842"/>
    <w:rsid w:val="00AB3395"/>
    <w:rsid w:val="00CB76AD"/>
    <w:rsid w:val="00F85A17"/>
    <w:rsid w:val="00FA3577"/>
    <w:rsid w:val="010F1BB8"/>
    <w:rsid w:val="03803C82"/>
    <w:rsid w:val="039B6FAB"/>
    <w:rsid w:val="041F3CAD"/>
    <w:rsid w:val="042B2897"/>
    <w:rsid w:val="04B32967"/>
    <w:rsid w:val="04D56CBE"/>
    <w:rsid w:val="05D16619"/>
    <w:rsid w:val="06134B4A"/>
    <w:rsid w:val="06CD03A5"/>
    <w:rsid w:val="07C41481"/>
    <w:rsid w:val="08B33B0B"/>
    <w:rsid w:val="09026099"/>
    <w:rsid w:val="096E3186"/>
    <w:rsid w:val="09AD313D"/>
    <w:rsid w:val="0A151A91"/>
    <w:rsid w:val="0A4822F6"/>
    <w:rsid w:val="0A790974"/>
    <w:rsid w:val="0B691723"/>
    <w:rsid w:val="0B9C5F76"/>
    <w:rsid w:val="0BB665A3"/>
    <w:rsid w:val="0D27282F"/>
    <w:rsid w:val="0D5A5513"/>
    <w:rsid w:val="0D876DD7"/>
    <w:rsid w:val="0DD210AF"/>
    <w:rsid w:val="0E8B32DC"/>
    <w:rsid w:val="0EC52C87"/>
    <w:rsid w:val="0ECB4175"/>
    <w:rsid w:val="0F670D94"/>
    <w:rsid w:val="106A6D7E"/>
    <w:rsid w:val="119553B0"/>
    <w:rsid w:val="11B33E88"/>
    <w:rsid w:val="11BA6C24"/>
    <w:rsid w:val="120C68B2"/>
    <w:rsid w:val="12FE055A"/>
    <w:rsid w:val="13732D54"/>
    <w:rsid w:val="14AC1462"/>
    <w:rsid w:val="153931CB"/>
    <w:rsid w:val="15A35400"/>
    <w:rsid w:val="1632593E"/>
    <w:rsid w:val="165D3999"/>
    <w:rsid w:val="169408EC"/>
    <w:rsid w:val="16BB213C"/>
    <w:rsid w:val="16D96652"/>
    <w:rsid w:val="17682951"/>
    <w:rsid w:val="17D4216B"/>
    <w:rsid w:val="17E46EF0"/>
    <w:rsid w:val="182D6CA2"/>
    <w:rsid w:val="1849417F"/>
    <w:rsid w:val="18754ED2"/>
    <w:rsid w:val="18DF3288"/>
    <w:rsid w:val="18E623B2"/>
    <w:rsid w:val="18F90177"/>
    <w:rsid w:val="19C723B4"/>
    <w:rsid w:val="1AB25CF5"/>
    <w:rsid w:val="1AFF2CAC"/>
    <w:rsid w:val="1B1A6D13"/>
    <w:rsid w:val="1BCA3AE4"/>
    <w:rsid w:val="1C01297A"/>
    <w:rsid w:val="1D4F73DC"/>
    <w:rsid w:val="1E0F0715"/>
    <w:rsid w:val="1EA705ED"/>
    <w:rsid w:val="1EAE72A3"/>
    <w:rsid w:val="1EB66936"/>
    <w:rsid w:val="1F54557D"/>
    <w:rsid w:val="20223DCB"/>
    <w:rsid w:val="20683D50"/>
    <w:rsid w:val="22F7115F"/>
    <w:rsid w:val="23F931D5"/>
    <w:rsid w:val="24C5411E"/>
    <w:rsid w:val="24DC16EA"/>
    <w:rsid w:val="24EA2FE1"/>
    <w:rsid w:val="24F55EFE"/>
    <w:rsid w:val="250C5762"/>
    <w:rsid w:val="25C02406"/>
    <w:rsid w:val="26E33F99"/>
    <w:rsid w:val="2888570C"/>
    <w:rsid w:val="2A027097"/>
    <w:rsid w:val="2A1A6082"/>
    <w:rsid w:val="2A4173DE"/>
    <w:rsid w:val="2A72391F"/>
    <w:rsid w:val="2B3F5A47"/>
    <w:rsid w:val="2C287F4A"/>
    <w:rsid w:val="2DB10755"/>
    <w:rsid w:val="2E0B7331"/>
    <w:rsid w:val="2E5F634A"/>
    <w:rsid w:val="2E6E56DB"/>
    <w:rsid w:val="2ED1358C"/>
    <w:rsid w:val="2EFF2353"/>
    <w:rsid w:val="2F0E6A8C"/>
    <w:rsid w:val="2FCE4C45"/>
    <w:rsid w:val="30774F65"/>
    <w:rsid w:val="30E526DB"/>
    <w:rsid w:val="31416121"/>
    <w:rsid w:val="31930E27"/>
    <w:rsid w:val="31F63034"/>
    <w:rsid w:val="33B271F9"/>
    <w:rsid w:val="348E60DA"/>
    <w:rsid w:val="365D3F90"/>
    <w:rsid w:val="373E2C06"/>
    <w:rsid w:val="3B2F65C0"/>
    <w:rsid w:val="3D1969F4"/>
    <w:rsid w:val="3D2E2771"/>
    <w:rsid w:val="3D4912B3"/>
    <w:rsid w:val="3D513501"/>
    <w:rsid w:val="3F486FBE"/>
    <w:rsid w:val="3FEE7EF3"/>
    <w:rsid w:val="400F506F"/>
    <w:rsid w:val="415A7817"/>
    <w:rsid w:val="42413414"/>
    <w:rsid w:val="440E469C"/>
    <w:rsid w:val="44CF1A70"/>
    <w:rsid w:val="44EC4E78"/>
    <w:rsid w:val="455467E8"/>
    <w:rsid w:val="457D484B"/>
    <w:rsid w:val="45A83F24"/>
    <w:rsid w:val="460B1A74"/>
    <w:rsid w:val="467B35E8"/>
    <w:rsid w:val="46CD00CF"/>
    <w:rsid w:val="471C6B80"/>
    <w:rsid w:val="471E326F"/>
    <w:rsid w:val="47B849E3"/>
    <w:rsid w:val="47CF7D38"/>
    <w:rsid w:val="48414628"/>
    <w:rsid w:val="484505A2"/>
    <w:rsid w:val="488D0111"/>
    <w:rsid w:val="48E629B4"/>
    <w:rsid w:val="494C440A"/>
    <w:rsid w:val="49ED6084"/>
    <w:rsid w:val="4BBC3E0D"/>
    <w:rsid w:val="4C693BCC"/>
    <w:rsid w:val="4CED4C71"/>
    <w:rsid w:val="4D6D42E4"/>
    <w:rsid w:val="4E2A50F1"/>
    <w:rsid w:val="4E3D1367"/>
    <w:rsid w:val="4F5C1316"/>
    <w:rsid w:val="4FB0726A"/>
    <w:rsid w:val="4FF70CE8"/>
    <w:rsid w:val="51091429"/>
    <w:rsid w:val="51CC6F2B"/>
    <w:rsid w:val="52E73D42"/>
    <w:rsid w:val="53195A1E"/>
    <w:rsid w:val="538A63BC"/>
    <w:rsid w:val="547864C2"/>
    <w:rsid w:val="555B2FA7"/>
    <w:rsid w:val="55716767"/>
    <w:rsid w:val="55E36282"/>
    <w:rsid w:val="563678F3"/>
    <w:rsid w:val="57A249D5"/>
    <w:rsid w:val="57A711A4"/>
    <w:rsid w:val="57AA7B3E"/>
    <w:rsid w:val="57DC225E"/>
    <w:rsid w:val="57F40C3F"/>
    <w:rsid w:val="587A0A23"/>
    <w:rsid w:val="5A800CBB"/>
    <w:rsid w:val="5AF7690E"/>
    <w:rsid w:val="5B2E5B87"/>
    <w:rsid w:val="5BE45A9D"/>
    <w:rsid w:val="5C3D25AF"/>
    <w:rsid w:val="5D9B1B67"/>
    <w:rsid w:val="5E4647FC"/>
    <w:rsid w:val="5E492C93"/>
    <w:rsid w:val="5E734521"/>
    <w:rsid w:val="5EEC00CB"/>
    <w:rsid w:val="5FC357BD"/>
    <w:rsid w:val="5FE87741"/>
    <w:rsid w:val="62DB47B4"/>
    <w:rsid w:val="6348351E"/>
    <w:rsid w:val="63A45593"/>
    <w:rsid w:val="649474DF"/>
    <w:rsid w:val="64FD703F"/>
    <w:rsid w:val="66B647CC"/>
    <w:rsid w:val="68FD77D7"/>
    <w:rsid w:val="69922F29"/>
    <w:rsid w:val="6A867A81"/>
    <w:rsid w:val="6B135436"/>
    <w:rsid w:val="6BF3523E"/>
    <w:rsid w:val="6C214F51"/>
    <w:rsid w:val="6CC768B3"/>
    <w:rsid w:val="6D0D62E8"/>
    <w:rsid w:val="6DC35378"/>
    <w:rsid w:val="6E6638F6"/>
    <w:rsid w:val="6F92783C"/>
    <w:rsid w:val="6FDB2686"/>
    <w:rsid w:val="71794BF8"/>
    <w:rsid w:val="72724F59"/>
    <w:rsid w:val="732772C2"/>
    <w:rsid w:val="73791404"/>
    <w:rsid w:val="740A13BE"/>
    <w:rsid w:val="7523005C"/>
    <w:rsid w:val="75A2058F"/>
    <w:rsid w:val="75C41922"/>
    <w:rsid w:val="75CA6CBC"/>
    <w:rsid w:val="76EE62B6"/>
    <w:rsid w:val="77BB32DC"/>
    <w:rsid w:val="781512B9"/>
    <w:rsid w:val="783A10ED"/>
    <w:rsid w:val="78E3451C"/>
    <w:rsid w:val="79014704"/>
    <w:rsid w:val="79C83ACD"/>
    <w:rsid w:val="7A7B7925"/>
    <w:rsid w:val="7AEA06F3"/>
    <w:rsid w:val="7B3F2E8C"/>
    <w:rsid w:val="7BF52CCD"/>
    <w:rsid w:val="7C3D0DFB"/>
    <w:rsid w:val="7C4D62CB"/>
    <w:rsid w:val="7D3923AB"/>
    <w:rsid w:val="7D424FA0"/>
    <w:rsid w:val="7E575DA0"/>
    <w:rsid w:val="7E581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4959</Words>
  <Characters>5359</Characters>
  <Lines>32</Lines>
  <Paragraphs>9</Paragraphs>
  <TotalTime>0</TotalTime>
  <ScaleCrop>false</ScaleCrop>
  <LinksUpToDate>false</LinksUpToDate>
  <CharactersWithSpaces>5399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2020-08-25T04:40:00Z</dcterms:created>
  <dc:creator>微软用户</dc:creator>
  <cp:lastModifiedBy>既然不是仙难免有杂念</cp:lastModifiedBy>
  <cp:lastPrinted>2023-08-08T07:21:00Z</cp:lastPrinted>
  <dcterms:modified xsi:type="dcterms:W3CDTF">2023-08-10T04:43:03Z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C11E0D2B5A694952881736F6D0DA5E57</vt:lpwstr>
  </property>
</Properties>
</file>