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黑体"/>
          <w:b/>
          <w:bCs w:val="0"/>
          <w:spacing w:val="20"/>
          <w:w w:val="105"/>
          <w:sz w:val="32"/>
          <w:szCs w:val="32"/>
          <w:lang w:val="en-US" w:eastAsia="zh-CN"/>
        </w:rPr>
      </w:pPr>
      <w:r>
        <w:rPr>
          <w:rFonts w:hint="eastAsia" w:ascii="仿宋_GB2312" w:hAnsi="宋体" w:eastAsia="仿宋_GB2312" w:cs="黑体"/>
          <w:b/>
          <w:bCs w:val="0"/>
          <w:spacing w:val="20"/>
          <w:w w:val="105"/>
          <w:sz w:val="32"/>
          <w:szCs w:val="32"/>
          <w:lang w:val="en-US" w:eastAsia="zh-CN"/>
        </w:rPr>
        <w:t>2023年盘锦</w:t>
      </w:r>
      <w:r>
        <w:rPr>
          <w:rFonts w:hint="eastAsia" w:ascii="仿宋_GB2312" w:hAnsi="宋体" w:eastAsia="仿宋_GB2312" w:cs="黑体"/>
          <w:b/>
          <w:bCs w:val="0"/>
          <w:spacing w:val="20"/>
          <w:w w:val="105"/>
          <w:sz w:val="32"/>
          <w:szCs w:val="32"/>
          <w:lang w:eastAsia="zh-CN"/>
        </w:rPr>
        <w:t>市</w:t>
      </w:r>
      <w:r>
        <w:rPr>
          <w:rFonts w:hint="eastAsia" w:ascii="仿宋_GB2312" w:hAnsi="宋体" w:eastAsia="仿宋_GB2312" w:cs="黑体"/>
          <w:b/>
          <w:bCs w:val="0"/>
          <w:spacing w:val="20"/>
          <w:w w:val="105"/>
          <w:sz w:val="32"/>
          <w:szCs w:val="32"/>
          <w:lang w:val="en-US" w:eastAsia="zh-CN"/>
        </w:rPr>
        <w:t>流通领域</w:t>
      </w:r>
    </w:p>
    <w:p>
      <w:pPr>
        <w:jc w:val="center"/>
        <w:rPr>
          <w:rFonts w:ascii="仿宋_GB2312" w:hAnsi="宋体" w:eastAsia="仿宋_GB2312" w:cs="黑体"/>
          <w:b/>
          <w:bCs w:val="0"/>
          <w:spacing w:val="20"/>
          <w:w w:val="105"/>
          <w:sz w:val="32"/>
          <w:szCs w:val="32"/>
        </w:rPr>
      </w:pPr>
      <w:r>
        <w:rPr>
          <w:rFonts w:hint="eastAsia" w:ascii="仿宋_GB2312" w:hAnsi="宋体" w:eastAsia="仿宋_GB2312" w:cs="黑体"/>
          <w:b/>
          <w:bCs w:val="0"/>
          <w:spacing w:val="20"/>
          <w:w w:val="105"/>
          <w:sz w:val="32"/>
          <w:szCs w:val="32"/>
          <w:lang w:val="en-US" w:eastAsia="zh-CN"/>
        </w:rPr>
        <w:t>天然气（家用）</w:t>
      </w:r>
      <w:r>
        <w:rPr>
          <w:rFonts w:hint="eastAsia" w:ascii="仿宋_GB2312" w:hAnsi="宋体" w:eastAsia="仿宋_GB2312" w:cs="黑体"/>
          <w:b/>
          <w:bCs w:val="0"/>
          <w:spacing w:val="20"/>
          <w:w w:val="105"/>
          <w:sz w:val="32"/>
          <w:szCs w:val="32"/>
        </w:rPr>
        <w:t>产品质量</w:t>
      </w:r>
      <w:r>
        <w:rPr>
          <w:rFonts w:hint="eastAsia" w:ascii="仿宋_GB2312" w:hAnsi="宋体" w:eastAsia="仿宋_GB2312" w:cs="黑体"/>
          <w:b/>
          <w:bCs w:val="0"/>
          <w:spacing w:val="20"/>
          <w:w w:val="105"/>
          <w:sz w:val="32"/>
          <w:szCs w:val="32"/>
          <w:lang w:val="en-US" w:eastAsia="zh-CN"/>
        </w:rPr>
        <w:t>专项</w:t>
      </w:r>
      <w:r>
        <w:rPr>
          <w:rFonts w:hint="eastAsia" w:ascii="仿宋_GB2312" w:hAnsi="宋体" w:eastAsia="仿宋_GB2312" w:cs="黑体"/>
          <w:b/>
          <w:bCs w:val="0"/>
          <w:spacing w:val="20"/>
          <w:w w:val="105"/>
          <w:sz w:val="32"/>
          <w:szCs w:val="32"/>
        </w:rPr>
        <w:t>监督抽查实施细则</w:t>
      </w:r>
    </w:p>
    <w:p>
      <w:pPr>
        <w:jc w:val="center"/>
        <w:rPr>
          <w:rFonts w:ascii="黑体" w:hAnsi="宋体" w:eastAsia="黑体"/>
          <w:szCs w:val="32"/>
        </w:rPr>
      </w:pPr>
    </w:p>
    <w:p>
      <w:pPr>
        <w:keepNext w:val="0"/>
        <w:keepLines w:val="0"/>
        <w:pageBreakBefore w:val="0"/>
        <w:kinsoku/>
        <w:wordWrap/>
        <w:overflowPunct/>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1适用范围</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t>本细则适用于</w:t>
      </w:r>
      <w:r>
        <w:rPr>
          <w:rFonts w:hint="eastAsia" w:ascii="仿宋" w:hAnsi="仿宋" w:eastAsia="仿宋" w:cs="仿宋"/>
          <w:sz w:val="28"/>
          <w:szCs w:val="28"/>
          <w:lang w:val="en-US" w:eastAsia="zh-CN"/>
        </w:rPr>
        <w:t>2023年盘锦</w:t>
      </w:r>
      <w:r>
        <w:rPr>
          <w:rFonts w:hint="eastAsia" w:ascii="仿宋" w:hAnsi="仿宋" w:eastAsia="仿宋" w:cs="仿宋"/>
          <w:sz w:val="28"/>
          <w:szCs w:val="28"/>
          <w:lang w:eastAsia="zh-CN"/>
        </w:rPr>
        <w:t>市</w:t>
      </w:r>
      <w:r>
        <w:rPr>
          <w:rFonts w:hint="eastAsia" w:ascii="仿宋" w:hAnsi="仿宋" w:eastAsia="仿宋" w:cs="仿宋"/>
          <w:sz w:val="28"/>
          <w:szCs w:val="28"/>
          <w:lang w:val="en-US" w:eastAsia="zh-CN"/>
        </w:rPr>
        <w:t>天然气（家用）</w:t>
      </w:r>
      <w:r>
        <w:rPr>
          <w:rFonts w:hint="eastAsia" w:ascii="仿宋" w:hAnsi="仿宋" w:eastAsia="仿宋" w:cs="仿宋"/>
          <w:sz w:val="28"/>
          <w:szCs w:val="28"/>
        </w:rPr>
        <w:t>产品质量监督抽查，针对特殊情况的专项抽查、</w:t>
      </w:r>
      <w:r>
        <w:rPr>
          <w:rFonts w:hint="eastAsia" w:ascii="仿宋" w:hAnsi="仿宋" w:eastAsia="仿宋" w:cs="仿宋"/>
          <w:sz w:val="28"/>
          <w:szCs w:val="28"/>
          <w:lang w:eastAsia="zh-CN"/>
        </w:rPr>
        <w:t>市</w:t>
      </w:r>
      <w:r>
        <w:rPr>
          <w:rFonts w:hint="eastAsia" w:ascii="仿宋" w:hAnsi="仿宋" w:eastAsia="仿宋" w:cs="仿宋"/>
          <w:sz w:val="28"/>
          <w:szCs w:val="28"/>
        </w:rPr>
        <w:t>内县级及以上市场监督管理部门组织的地方监督抽查可参照执行。</w:t>
      </w:r>
      <w:r>
        <w:rPr>
          <w:rFonts w:hint="eastAsia" w:ascii="仿宋" w:hAnsi="仿宋" w:eastAsia="仿宋" w:cs="仿宋"/>
          <w:kern w:val="0"/>
          <w:sz w:val="28"/>
          <w:szCs w:val="28"/>
        </w:rPr>
        <w:t>本细则内容包括产品分类、术语和定义、</w:t>
      </w:r>
      <w:r>
        <w:rPr>
          <w:rFonts w:hint="eastAsia" w:ascii="仿宋" w:hAnsi="仿宋" w:eastAsia="仿宋" w:cs="仿宋"/>
          <w:kern w:val="0"/>
          <w:sz w:val="28"/>
          <w:szCs w:val="28"/>
          <w:lang w:eastAsia="zh-CN"/>
        </w:rPr>
        <w:t>生产</w:t>
      </w:r>
      <w:r>
        <w:rPr>
          <w:rFonts w:hint="eastAsia" w:ascii="仿宋" w:hAnsi="仿宋" w:eastAsia="仿宋" w:cs="仿宋"/>
          <w:kern w:val="0"/>
          <w:sz w:val="28"/>
          <w:szCs w:val="28"/>
        </w:rPr>
        <w:t>企业规模划分、检验依据、抽样、检验要求、判定原则、异议处理。</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w:t>
      </w:r>
      <w:r>
        <w:rPr>
          <w:rFonts w:hint="eastAsia" w:ascii="仿宋" w:hAnsi="仿宋" w:eastAsia="仿宋" w:cs="仿宋"/>
          <w:b/>
          <w:bCs/>
          <w:kern w:val="0"/>
          <w:sz w:val="28"/>
          <w:szCs w:val="28"/>
        </w:rPr>
        <w:t>产品分类</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2.1产品分类及代码见表1。</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表1  产品分类及代码</w:t>
      </w:r>
    </w:p>
    <w:tbl>
      <w:tblPr>
        <w:tblStyle w:val="9"/>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603"/>
        <w:gridCol w:w="1632"/>
        <w:gridCol w:w="234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1" w:type="dxa"/>
            <w:vAlign w:val="center"/>
          </w:tcPr>
          <w:p>
            <w:pPr>
              <w:keepNext w:val="0"/>
              <w:keepLines w:val="0"/>
              <w:pageBreakBefore w:val="0"/>
              <w:kinsoku/>
              <w:wordWrap/>
              <w:overflowPunct/>
              <w:autoSpaceDE/>
              <w:autoSpaceDN/>
              <w:bidi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产品分类</w:t>
            </w:r>
          </w:p>
        </w:tc>
        <w:tc>
          <w:tcPr>
            <w:tcW w:w="1603" w:type="dxa"/>
            <w:vAlign w:val="center"/>
          </w:tcPr>
          <w:p>
            <w:pPr>
              <w:keepNext w:val="0"/>
              <w:keepLines w:val="0"/>
              <w:pageBreakBefore w:val="0"/>
              <w:kinsoku/>
              <w:wordWrap/>
              <w:overflowPunct/>
              <w:autoSpaceDE/>
              <w:autoSpaceDN/>
              <w:bidi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一级分类</w:t>
            </w:r>
          </w:p>
        </w:tc>
        <w:tc>
          <w:tcPr>
            <w:tcW w:w="1632" w:type="dxa"/>
            <w:vAlign w:val="center"/>
          </w:tcPr>
          <w:p>
            <w:pPr>
              <w:keepNext w:val="0"/>
              <w:keepLines w:val="0"/>
              <w:pageBreakBefore w:val="0"/>
              <w:kinsoku/>
              <w:wordWrap/>
              <w:overflowPunct/>
              <w:autoSpaceDE/>
              <w:autoSpaceDN/>
              <w:bidi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二级分类</w:t>
            </w:r>
          </w:p>
        </w:tc>
        <w:tc>
          <w:tcPr>
            <w:tcW w:w="2343" w:type="dxa"/>
            <w:vAlign w:val="center"/>
          </w:tcPr>
          <w:p>
            <w:pPr>
              <w:keepNext w:val="0"/>
              <w:keepLines w:val="0"/>
              <w:pageBreakBefore w:val="0"/>
              <w:kinsoku/>
              <w:wordWrap/>
              <w:overflowPunct/>
              <w:autoSpaceDE/>
              <w:autoSpaceDN/>
              <w:bidi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产品编码</w:t>
            </w:r>
            <w:r>
              <w:rPr>
                <w:rFonts w:hint="eastAsia" w:ascii="仿宋" w:hAnsi="仿宋" w:eastAsia="仿宋" w:cs="仿宋"/>
                <w:sz w:val="24"/>
                <w:szCs w:val="24"/>
                <w:lang w:eastAsia="zh-CN"/>
              </w:rPr>
              <w:t>及名称</w:t>
            </w:r>
          </w:p>
        </w:tc>
        <w:tc>
          <w:tcPr>
            <w:tcW w:w="1928" w:type="dxa"/>
            <w:vAlign w:val="center"/>
          </w:tcPr>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属性编码</w:t>
            </w:r>
            <w:r>
              <w:rPr>
                <w:rFonts w:hint="eastAsia" w:ascii="仿宋" w:hAnsi="仿宋" w:eastAsia="仿宋" w:cs="仿宋"/>
                <w:sz w:val="24"/>
                <w:szCs w:val="24"/>
                <w:lang w:eastAsia="zh-CN"/>
              </w:rPr>
              <w:t>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1" w:type="dxa"/>
            <w:vAlign w:val="center"/>
          </w:tcPr>
          <w:p>
            <w:pPr>
              <w:keepNext w:val="0"/>
              <w:keepLines w:val="0"/>
              <w:pageBreakBefore w:val="0"/>
              <w:kinsoku/>
              <w:wordWrap/>
              <w:overflowPunct/>
              <w:autoSpaceDE/>
              <w:autoSpaceDN/>
              <w:bidi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分类代码</w:t>
            </w:r>
          </w:p>
        </w:tc>
        <w:tc>
          <w:tcPr>
            <w:tcW w:w="1603" w:type="dxa"/>
            <w:vAlign w:val="center"/>
          </w:tcPr>
          <w:p>
            <w:pPr>
              <w:keepNext w:val="0"/>
              <w:keepLines w:val="0"/>
              <w:pageBreakBefore w:val="0"/>
              <w:kinsoku/>
              <w:wordWrap/>
              <w:overflowPunct/>
              <w:autoSpaceDE/>
              <w:autoSpaceDN/>
              <w:bidi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03</w:t>
            </w:r>
          </w:p>
        </w:tc>
        <w:tc>
          <w:tcPr>
            <w:tcW w:w="1632" w:type="dxa"/>
            <w:vAlign w:val="center"/>
          </w:tcPr>
          <w:p>
            <w:pPr>
              <w:keepNext w:val="0"/>
              <w:keepLines w:val="0"/>
              <w:pageBreakBefore w:val="0"/>
              <w:kinsoku/>
              <w:wordWrap/>
              <w:overflowPunct/>
              <w:autoSpaceDE/>
              <w:autoSpaceDN/>
              <w:bidi w:val="0"/>
              <w:snapToGrid w:val="0"/>
              <w:spacing w:line="540" w:lineRule="exact"/>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10</w:t>
            </w:r>
          </w:p>
        </w:tc>
        <w:tc>
          <w:tcPr>
            <w:tcW w:w="2343" w:type="dxa"/>
            <w:vAlign w:val="center"/>
          </w:tcPr>
          <w:p>
            <w:pPr>
              <w:keepNext w:val="0"/>
              <w:keepLines w:val="0"/>
              <w:pageBreakBefore w:val="0"/>
              <w:kinsoku/>
              <w:wordWrap/>
              <w:overflowPunct/>
              <w:autoSpaceDE/>
              <w:autoSpaceDN/>
              <w:bidi w:val="0"/>
              <w:snapToGrid w:val="0"/>
              <w:spacing w:line="5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06</w:t>
            </w:r>
          </w:p>
        </w:tc>
        <w:tc>
          <w:tcPr>
            <w:tcW w:w="1928" w:type="dxa"/>
            <w:vAlign w:val="center"/>
          </w:tcPr>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1" w:type="dxa"/>
            <w:vAlign w:val="center"/>
          </w:tcPr>
          <w:p>
            <w:pPr>
              <w:keepNext w:val="0"/>
              <w:keepLines w:val="0"/>
              <w:pageBreakBefore w:val="0"/>
              <w:kinsoku/>
              <w:wordWrap/>
              <w:overflowPunct/>
              <w:autoSpaceDE/>
              <w:autoSpaceDN/>
              <w:bidi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分类名称</w:t>
            </w:r>
          </w:p>
        </w:tc>
        <w:tc>
          <w:tcPr>
            <w:tcW w:w="1603" w:type="dxa"/>
            <w:vAlign w:val="center"/>
          </w:tcPr>
          <w:p>
            <w:pPr>
              <w:keepNext w:val="0"/>
              <w:keepLines w:val="0"/>
              <w:pageBreakBefore w:val="0"/>
              <w:kinsoku/>
              <w:wordWrap/>
              <w:overflowPunct/>
              <w:autoSpaceDE/>
              <w:autoSpaceDN/>
              <w:bidi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轻工产品</w:t>
            </w:r>
          </w:p>
        </w:tc>
        <w:tc>
          <w:tcPr>
            <w:tcW w:w="1632" w:type="dxa"/>
            <w:vAlign w:val="center"/>
          </w:tcPr>
          <w:p>
            <w:pPr>
              <w:keepNext w:val="0"/>
              <w:keepLines w:val="0"/>
              <w:pageBreakBefore w:val="0"/>
              <w:kinsoku/>
              <w:wordWrap/>
              <w:overflowPunct/>
              <w:autoSpaceDE/>
              <w:autoSpaceDN/>
              <w:bidi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石化产品</w:t>
            </w:r>
          </w:p>
        </w:tc>
        <w:tc>
          <w:tcPr>
            <w:tcW w:w="2343" w:type="dxa"/>
            <w:vAlign w:val="center"/>
          </w:tcPr>
          <w:p>
            <w:pPr>
              <w:keepNext w:val="0"/>
              <w:keepLines w:val="0"/>
              <w:pageBreakBefore w:val="0"/>
              <w:kinsoku/>
              <w:wordWrap/>
              <w:overflowPunct/>
              <w:autoSpaceDE/>
              <w:autoSpaceDN/>
              <w:bidi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管道天然气</w:t>
            </w:r>
          </w:p>
        </w:tc>
        <w:tc>
          <w:tcPr>
            <w:tcW w:w="1928" w:type="dxa"/>
            <w:vAlign w:val="center"/>
          </w:tcPr>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2.2产品种类</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本细则涉及产品种类：</w:t>
      </w:r>
      <w:r>
        <w:rPr>
          <w:rFonts w:hint="eastAsia" w:ascii="仿宋" w:hAnsi="仿宋" w:eastAsia="仿宋" w:cs="仿宋"/>
          <w:sz w:val="28"/>
          <w:szCs w:val="28"/>
          <w:lang w:val="en-US" w:eastAsia="zh-CN"/>
        </w:rPr>
        <w:t>天然气。</w:t>
      </w:r>
    </w:p>
    <w:p>
      <w:pPr>
        <w:keepNext w:val="0"/>
        <w:keepLines w:val="0"/>
        <w:pageBreakBefore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3术语和定义</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本细则中所使用的术语和定义同相关引用标准。</w:t>
      </w:r>
    </w:p>
    <w:p>
      <w:pPr>
        <w:keepNext w:val="0"/>
        <w:keepLines w:val="0"/>
        <w:pageBreakBefore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4企业规模划分</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rPr>
        <w:t>根据国家统计局印发的相关管理办法，确定企业规模。</w:t>
      </w:r>
    </w:p>
    <w:p>
      <w:pPr>
        <w:keepNext w:val="0"/>
        <w:keepLines w:val="0"/>
        <w:pageBreakBefore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5检验依据</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GB 17820-2018 《天然气》</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相关的法律、行政法规、部门规章、规范性文件</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现行有效的企业标准、团体标准、地方标准及产品明示质量要求相关的法律法规、部门规章和规范</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6抽样</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6.1抽样型号或规格</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抽取样品应为同一型号规格、同一批次的产品。</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6.2抽样基数、抽样数量</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6.2.1抽样地点为生产企业的成品库，经销单位的销售现场、仓库。</w:t>
      </w:r>
    </w:p>
    <w:p>
      <w:pPr>
        <w:pStyle w:val="19"/>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在企业的成品库内或市场待销产品中随机抽取有产品质量检验合格证明或者以其他形式表明合格的产品。随机数一般可使用随机数表、骰子或扑克牌等方法产生。</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6.2.2抽样基数</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抽样基数满足抽样数量即可。</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6.2.3抽样数量</w:t>
      </w:r>
    </w:p>
    <w:p>
      <w:pPr>
        <w:keepNext w:val="0"/>
        <w:keepLines w:val="0"/>
        <w:pageBreakBefore w:val="0"/>
        <w:kinsoku/>
        <w:wordWrap/>
        <w:overflowPunct/>
        <w:topLinePunct w:val="0"/>
        <w:autoSpaceDE/>
        <w:autoSpaceDN/>
        <w:bidi w:val="0"/>
        <w:adjustRightInd w:val="0"/>
        <w:snapToGrid w:val="0"/>
        <w:spacing w:line="540" w:lineRule="exact"/>
        <w:ind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rPr>
        <w:t>表2 抽样数量</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843"/>
        <w:gridCol w:w="184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3085" w:type="dxa"/>
            <w:noWrap w:val="0"/>
            <w:vAlign w:val="center"/>
          </w:tcPr>
          <w:p>
            <w:pPr>
              <w:keepNext w:val="0"/>
              <w:keepLines w:val="0"/>
              <w:pageBreakBefore w:val="0"/>
              <w:kinsoku/>
              <w:wordWrap/>
              <w:overflowPunct/>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产品</w:t>
            </w:r>
          </w:p>
        </w:tc>
        <w:tc>
          <w:tcPr>
            <w:tcW w:w="1843" w:type="dxa"/>
            <w:noWrap w:val="0"/>
            <w:vAlign w:val="center"/>
          </w:tcPr>
          <w:p>
            <w:pPr>
              <w:keepNext w:val="0"/>
              <w:keepLines w:val="0"/>
              <w:pageBreakBefore w:val="0"/>
              <w:kinsoku/>
              <w:wordWrap/>
              <w:overflowPunct/>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抽样数量</w:t>
            </w:r>
          </w:p>
        </w:tc>
        <w:tc>
          <w:tcPr>
            <w:tcW w:w="1843" w:type="dxa"/>
            <w:noWrap w:val="0"/>
            <w:vAlign w:val="center"/>
          </w:tcPr>
          <w:p>
            <w:pPr>
              <w:keepNext w:val="0"/>
              <w:keepLines w:val="0"/>
              <w:pageBreakBefore w:val="0"/>
              <w:kinsoku/>
              <w:wordWrap/>
              <w:overflowPunct/>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检样教量</w:t>
            </w:r>
          </w:p>
        </w:tc>
        <w:tc>
          <w:tcPr>
            <w:tcW w:w="1751" w:type="dxa"/>
            <w:noWrap w:val="0"/>
            <w:vAlign w:val="center"/>
          </w:tcPr>
          <w:p>
            <w:pPr>
              <w:keepNext w:val="0"/>
              <w:keepLines w:val="0"/>
              <w:pageBreakBefore w:val="0"/>
              <w:kinsoku/>
              <w:wordWrap/>
              <w:overflowPunct/>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3085" w:type="dxa"/>
            <w:noWrap w:val="0"/>
            <w:vAlign w:val="center"/>
          </w:tcPr>
          <w:p>
            <w:pPr>
              <w:keepNext w:val="0"/>
              <w:keepLines w:val="0"/>
              <w:pageBreakBefore w:val="0"/>
              <w:kinsoku/>
              <w:wordWrap/>
              <w:overflowPunct/>
              <w:autoSpaceDE/>
              <w:autoSpaceDN/>
              <w:bidi w:val="0"/>
              <w:adjustRightInd w:val="0"/>
              <w:snapToGrid w:val="0"/>
              <w:spacing w:line="5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天然气</w:t>
            </w:r>
          </w:p>
        </w:tc>
        <w:tc>
          <w:tcPr>
            <w:tcW w:w="1843" w:type="dxa"/>
            <w:noWrap w:val="0"/>
            <w:vAlign w:val="center"/>
          </w:tcPr>
          <w:p>
            <w:pPr>
              <w:keepNext w:val="0"/>
              <w:keepLines w:val="0"/>
              <w:pageBreakBefore w:val="0"/>
              <w:widowControl/>
              <w:suppressLineNumbers w:val="0"/>
              <w:kinsoku/>
              <w:wordWrap/>
              <w:overflowPunct/>
              <w:autoSpaceDE/>
              <w:autoSpaceDN/>
              <w:bidi w:val="0"/>
              <w:spacing w:line="5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2钢瓶/气袋</w:t>
            </w:r>
          </w:p>
        </w:tc>
        <w:tc>
          <w:tcPr>
            <w:tcW w:w="1843" w:type="dxa"/>
            <w:noWrap w:val="0"/>
            <w:vAlign w:val="center"/>
          </w:tcPr>
          <w:p>
            <w:pPr>
              <w:pStyle w:val="12"/>
              <w:keepNext w:val="0"/>
              <w:keepLines w:val="0"/>
              <w:pageBreakBefore w:val="0"/>
              <w:kinsoku/>
              <w:wordWrap/>
              <w:overflowPunct/>
              <w:autoSpaceDE/>
              <w:autoSpaceDN/>
              <w:bidi w:val="0"/>
              <w:spacing w:line="540" w:lineRule="exact"/>
              <w:ind w:left="0" w:lef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1钢瓶</w:t>
            </w:r>
            <w:r>
              <w:rPr>
                <w:rFonts w:hint="eastAsia" w:ascii="仿宋" w:hAnsi="仿宋" w:eastAsia="仿宋" w:cs="仿宋"/>
                <w:sz w:val="24"/>
                <w:szCs w:val="24"/>
                <w:lang w:val="en-US" w:eastAsia="zh-CN"/>
              </w:rPr>
              <w:t>/气袋</w:t>
            </w:r>
          </w:p>
        </w:tc>
        <w:tc>
          <w:tcPr>
            <w:tcW w:w="1751" w:type="dxa"/>
            <w:noWrap w:val="0"/>
            <w:vAlign w:val="center"/>
          </w:tcPr>
          <w:p>
            <w:pPr>
              <w:pStyle w:val="12"/>
              <w:keepNext w:val="0"/>
              <w:keepLines w:val="0"/>
              <w:pageBreakBefore w:val="0"/>
              <w:kinsoku/>
              <w:wordWrap/>
              <w:overflowPunct/>
              <w:autoSpaceDE/>
              <w:autoSpaceDN/>
              <w:bidi w:val="0"/>
              <w:spacing w:line="540" w:lineRule="exact"/>
              <w:ind w:left="0" w:lef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1钢瓶</w:t>
            </w:r>
            <w:r>
              <w:rPr>
                <w:rFonts w:hint="eastAsia" w:ascii="仿宋" w:hAnsi="仿宋" w:eastAsia="仿宋" w:cs="仿宋"/>
                <w:sz w:val="24"/>
                <w:szCs w:val="24"/>
                <w:lang w:val="en-US" w:eastAsia="zh-CN"/>
              </w:rPr>
              <w:t>/气袋</w:t>
            </w:r>
          </w:p>
        </w:tc>
      </w:tr>
    </w:tbl>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6.2.4抽样时应注意的问题</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6.2.4.1应由抽样技术人员在现场进行抽取，不得由企业自行抽样。抽取的样品应当是有产品质量检验合格证明或者以其他形式表明合格的产品。</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6.2.4.2抽样时，抽样人员应当认真核实营业执照等被抽查企业的相关信息，确认企业不存在不得抽样的情形。遇有下列情况之一且能提供有效证明的，不得抽样：</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（1）被抽查企业无监督抽查通知书或者相关文件复印件所列产品的；</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（2）有充分证据证明拟抽查的产品是不用于销售的；</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（3）产品不涉及强制性标准要求，仅按双方约定的技术要求加工生产，且未执行任何标准的；</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（4）有充分证据证明拟抽查的产品为企业用于出口，并且出口合同对产品质量另有规定的；</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（5）产品或者标签、包装、说明书标有“试制”、“处理”或者“样品”等字样的；</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（6）企业提供上级市场监管部门6个月内同一规格型号的该种产品的监督抽查抽样单或者合格检验报告的。</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6.3样品处置</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检验样品及备用样品应分别封样，抽取的样品（连同其原包装和使用说明）加贴封条封样。包装的方式应能防止样品在运送过程中损坏或被污染，封样的方式应能有效防止未经授权的拆封。</w:t>
      </w:r>
    </w:p>
    <w:p>
      <w:pPr>
        <w:pStyle w:val="19"/>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封样单上应有被抽查企业和抽样技术人员的签名，注明抽样日期，并确认封样单牢固。</w:t>
      </w:r>
    </w:p>
    <w:p>
      <w:pPr>
        <w:pStyle w:val="19"/>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检验用样品应寄、送至指定的检验机构相关部门。如产品包装或说明书等材料上标明特殊储存或搬运要求，样品应按要求进行处置。</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6.4抽样单</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应按有关规定填写抽样单，并记录被抽查产品及企业相关信息。同时记录被抽查企业上一年度生产的产品销售总额，以万元计；若企业上一年度未生产，则记录本年度实际销售额，并加以注明。</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对于产品检验所需的样品技术参数等信息，需要被抽企业提供的，应在抽样现场获取，并经企业确认。</w:t>
      </w:r>
    </w:p>
    <w:p>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6.5</w:t>
      </w:r>
      <w:r>
        <w:rPr>
          <w:rFonts w:hint="eastAsia" w:ascii="仿宋" w:hAnsi="仿宋" w:eastAsia="仿宋"/>
          <w:sz w:val="28"/>
          <w:szCs w:val="28"/>
        </w:rPr>
        <w:t>样品获取方式</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监督抽查所需的</w:t>
      </w:r>
      <w:r>
        <w:rPr>
          <w:rFonts w:hint="eastAsia" w:ascii="仿宋" w:hAnsi="仿宋" w:eastAsia="仿宋"/>
          <w:sz w:val="28"/>
          <w:szCs w:val="28"/>
          <w:lang w:val="en-US" w:eastAsia="zh-CN"/>
        </w:rPr>
        <w:t>检验</w:t>
      </w:r>
      <w:r>
        <w:rPr>
          <w:rFonts w:hint="eastAsia" w:ascii="仿宋" w:hAnsi="仿宋" w:eastAsia="仿宋"/>
          <w:sz w:val="28"/>
          <w:szCs w:val="28"/>
        </w:rPr>
        <w:t>样品要在受检单位以购买方式获取</w:t>
      </w:r>
      <w:r>
        <w:rPr>
          <w:rFonts w:hint="eastAsia" w:ascii="仿宋" w:hAnsi="仿宋" w:eastAsia="仿宋"/>
          <w:sz w:val="28"/>
          <w:szCs w:val="28"/>
          <w:lang w:eastAsia="zh-CN"/>
        </w:rPr>
        <w:t>，</w:t>
      </w:r>
      <w:r>
        <w:rPr>
          <w:rFonts w:hint="eastAsia" w:ascii="仿宋" w:hAnsi="仿宋" w:eastAsia="仿宋"/>
          <w:sz w:val="28"/>
          <w:szCs w:val="28"/>
        </w:rPr>
        <w:t>受检单位</w:t>
      </w:r>
      <w:r>
        <w:rPr>
          <w:rFonts w:hint="eastAsia" w:ascii="仿宋" w:hAnsi="仿宋" w:eastAsia="仿宋"/>
          <w:sz w:val="28"/>
          <w:szCs w:val="28"/>
          <w:lang w:val="en-US" w:eastAsia="zh-CN"/>
        </w:rPr>
        <w:t>提供收取费用的发票</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b/>
          <w:bCs/>
          <w:sz w:val="28"/>
          <w:szCs w:val="28"/>
          <w:lang w:val="en-US" w:eastAsia="zh-CN"/>
        </w:rPr>
      </w:pPr>
      <w:r>
        <w:rPr>
          <w:rFonts w:hint="eastAsia" w:ascii="仿宋" w:hAnsi="仿宋" w:eastAsia="仿宋"/>
          <w:sz w:val="28"/>
          <w:szCs w:val="28"/>
          <w:lang w:val="en-US" w:eastAsia="zh-CN"/>
        </w:rPr>
        <w:t>备检样品由受检单位先行无偿提供，后续启用备检样品进行复检时，由承担检验的复检机构另行付费购买，受检单位需另行提供发票。</w:t>
      </w:r>
    </w:p>
    <w:p>
      <w:pPr>
        <w:keepNext w:val="0"/>
        <w:keepLines w:val="0"/>
        <w:pageBreakBefore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7检验要求</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7.1检验项目</w:t>
      </w:r>
    </w:p>
    <w:p>
      <w:pPr>
        <w:keepNext w:val="0"/>
        <w:keepLines w:val="0"/>
        <w:pageBreakBefore w:val="0"/>
        <w:widowControl/>
        <w:kinsoku/>
        <w:wordWrap/>
        <w:overflowPunct/>
        <w:topLinePunct w:val="0"/>
        <w:autoSpaceDE/>
        <w:autoSpaceDN/>
        <w:bidi w:val="0"/>
        <w:spacing w:line="540" w:lineRule="exact"/>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表</w:t>
      </w:r>
      <w:r>
        <w:rPr>
          <w:rFonts w:hint="eastAsia" w:ascii="仿宋" w:hAnsi="仿宋" w:eastAsia="仿宋" w:cs="仿宋"/>
          <w:color w:val="000000" w:themeColor="text1"/>
          <w:sz w:val="28"/>
          <w:szCs w:val="28"/>
          <w:lang w:val="en-US" w:eastAsia="zh-CN"/>
          <w14:textFill>
            <w14:solidFill>
              <w14:schemeClr w14:val="tx1"/>
            </w14:solidFill>
          </w14:textFill>
        </w:rPr>
        <w:t>3-1</w:t>
      </w:r>
      <w:r>
        <w:rPr>
          <w:rFonts w:hint="eastAsia" w:ascii="仿宋" w:hAnsi="仿宋" w:eastAsia="仿宋" w:cs="仿宋"/>
          <w:color w:val="000000" w:themeColor="text1"/>
          <w:sz w:val="28"/>
          <w:szCs w:val="28"/>
          <w14:textFill>
            <w14:solidFill>
              <w14:schemeClr w14:val="tx1"/>
            </w14:solidFill>
          </w14:textFill>
        </w:rPr>
        <w:t xml:space="preserve"> 检验项目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862"/>
        <w:gridCol w:w="223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6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223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依据标准</w:t>
            </w:r>
          </w:p>
        </w:tc>
        <w:tc>
          <w:tcPr>
            <w:tcW w:w="241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exac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p>
        </w:tc>
        <w:tc>
          <w:tcPr>
            <w:tcW w:w="28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p>
        </w:tc>
        <w:tc>
          <w:tcPr>
            <w:tcW w:w="22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p>
        </w:tc>
        <w:tc>
          <w:tcPr>
            <w:tcW w:w="2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2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总硫</w:t>
            </w:r>
          </w:p>
        </w:tc>
        <w:tc>
          <w:tcPr>
            <w:tcW w:w="2230" w:type="dxa"/>
            <w:vMerge w:val="restart"/>
            <w:tcBorders>
              <w:top w:val="single" w:color="auto" w:sz="4" w:space="0"/>
              <w:left w:val="single" w:color="auto" w:sz="4" w:space="0"/>
              <w:right w:val="single" w:color="auto" w:sz="4" w:space="0"/>
            </w:tcBorders>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w:t>
            </w:r>
            <w:bookmarkStart w:id="0" w:name="_GoBack"/>
            <w:bookmarkEnd w:id="0"/>
            <w:r>
              <w:rPr>
                <w:rFonts w:hint="eastAsia" w:ascii="仿宋" w:hAnsi="仿宋" w:eastAsia="仿宋" w:cs="仿宋"/>
                <w:sz w:val="24"/>
                <w:szCs w:val="24"/>
                <w:lang w:val="en-US" w:eastAsia="zh-CN"/>
              </w:rPr>
              <w:t xml:space="preserve"> 17820-2018</w:t>
            </w:r>
          </w:p>
        </w:tc>
        <w:tc>
          <w:tcPr>
            <w:tcW w:w="24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GB/T 11060.4-2017</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GB/T 11060.5-2010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GB/T 11060.8-2020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2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硫化氢</w:t>
            </w:r>
          </w:p>
        </w:tc>
        <w:tc>
          <w:tcPr>
            <w:tcW w:w="2230" w:type="dxa"/>
            <w:vMerge w:val="continue"/>
            <w:tcBorders>
              <w:left w:val="single" w:color="auto" w:sz="4" w:space="0"/>
              <w:right w:val="single" w:color="auto" w:sz="4" w:space="0"/>
            </w:tcBorders>
            <w:vAlign w:val="center"/>
          </w:tcPr>
          <w:p>
            <w:pPr>
              <w:snapToGrid w:val="0"/>
              <w:jc w:val="center"/>
              <w:rPr>
                <w:rFonts w:hint="eastAsia" w:ascii="仿宋" w:hAnsi="仿宋" w:eastAsia="仿宋" w:cs="仿宋"/>
                <w:sz w:val="24"/>
                <w:szCs w:val="24"/>
                <w:lang w:val="en-US" w:eastAsia="zh-CN"/>
              </w:rPr>
            </w:pPr>
          </w:p>
        </w:tc>
        <w:tc>
          <w:tcPr>
            <w:tcW w:w="24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GB/T 11060.1-2010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GB/T 11060.2-2008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2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高位发热量</w:t>
            </w:r>
          </w:p>
        </w:tc>
        <w:tc>
          <w:tcPr>
            <w:tcW w:w="2230" w:type="dxa"/>
            <w:vMerge w:val="continue"/>
            <w:tcBorders>
              <w:left w:val="single" w:color="auto" w:sz="4" w:space="0"/>
              <w:right w:val="single" w:color="auto" w:sz="4" w:space="0"/>
            </w:tcBorders>
            <w:vAlign w:val="center"/>
          </w:tcPr>
          <w:p>
            <w:pPr>
              <w:snapToGrid w:val="0"/>
              <w:jc w:val="center"/>
              <w:rPr>
                <w:rFonts w:hint="eastAsia" w:ascii="仿宋" w:hAnsi="仿宋" w:eastAsia="仿宋" w:cs="仿宋"/>
                <w:sz w:val="24"/>
                <w:szCs w:val="24"/>
                <w:lang w:val="en-US" w:eastAsia="zh-CN"/>
              </w:rPr>
            </w:pPr>
          </w:p>
        </w:tc>
        <w:tc>
          <w:tcPr>
            <w:tcW w:w="24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GB/T 13610-2020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GB/T 11062-2020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2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二氧化碳摩尔分数</w:t>
            </w:r>
          </w:p>
        </w:tc>
        <w:tc>
          <w:tcPr>
            <w:tcW w:w="2230" w:type="dxa"/>
            <w:vMerge w:val="continue"/>
            <w:tcBorders>
              <w:left w:val="single" w:color="auto" w:sz="4" w:space="0"/>
              <w:right w:val="single" w:color="auto" w:sz="4" w:space="0"/>
            </w:tcBorders>
            <w:vAlign w:val="center"/>
          </w:tcPr>
          <w:p>
            <w:pPr>
              <w:snapToGrid w:val="0"/>
              <w:jc w:val="center"/>
              <w:rPr>
                <w:rFonts w:hint="eastAsia" w:ascii="仿宋" w:hAnsi="仿宋" w:eastAsia="仿宋" w:cs="仿宋"/>
                <w:sz w:val="24"/>
                <w:szCs w:val="24"/>
                <w:lang w:val="en-US" w:eastAsia="zh-CN"/>
              </w:rPr>
            </w:pPr>
          </w:p>
        </w:tc>
        <w:tc>
          <w:tcPr>
            <w:tcW w:w="24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GB/T 13610-2020</w:t>
            </w: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7.2检验应注意的问题</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8判定原则</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9异议处理</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对被判定为不合格企业进行异议处理时，按以下方式进行：</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9.1核查不合格项目相关证据，能够以记录（纸质记录或电子记录或影像记录）或与不合格项目相关联的其它质量数据等检验证据证明。</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9.2对需要复检并具备检验条件的，处理企业异议的市场监督管理部门或者指定检验机构应当按原监督抽查细则对留存的样品或抽取的备用样品组织复检，复检项目如有仲裁法需用仲裁法进行复检，并出具检验报告。复检结论为最终结论。</w:t>
      </w:r>
    </w:p>
    <w:p>
      <w:pPr>
        <w:pStyle w:val="3"/>
        <w:keepNext w:val="0"/>
        <w:keepLines w:val="0"/>
        <w:pageBreakBefore w:val="0"/>
        <w:widowControl w:val="0"/>
        <w:kinsoku/>
        <w:wordWrap/>
        <w:overflowPunct/>
        <w:topLinePunct w:val="0"/>
        <w:autoSpaceDE/>
        <w:autoSpaceDN/>
        <w:bidi w:val="0"/>
        <w:adjustRightInd w:val="0"/>
        <w:snapToGrid w:val="0"/>
        <w:spacing w:line="540" w:lineRule="exact"/>
        <w:ind w:firstLine="42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 xml:space="preserve"> 附则</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_GB2312" w:eastAsia="仿宋_GB2312"/>
          <w:sz w:val="28"/>
          <w:szCs w:val="28"/>
        </w:rPr>
      </w:pPr>
      <w:r>
        <w:rPr>
          <w:rFonts w:hint="eastAsia" w:ascii="仿宋_GB2312" w:eastAsia="仿宋_GB2312"/>
          <w:sz w:val="28"/>
          <w:szCs w:val="28"/>
        </w:rPr>
        <w:t>本细则编写单位:山东腾翔产品质量检测有限公司</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本细则由</w:t>
      </w:r>
      <w:r>
        <w:rPr>
          <w:rFonts w:hint="eastAsia" w:ascii="仿宋_GB2312" w:eastAsia="仿宋_GB2312"/>
          <w:sz w:val="28"/>
          <w:szCs w:val="28"/>
          <w:lang w:val="en-US" w:eastAsia="zh-CN"/>
        </w:rPr>
        <w:t>盘锦市</w:t>
      </w:r>
      <w:r>
        <w:rPr>
          <w:rFonts w:hint="eastAsia" w:ascii="仿宋_GB2312" w:eastAsia="仿宋_GB2312"/>
          <w:sz w:val="28"/>
          <w:szCs w:val="28"/>
        </w:rPr>
        <w:t>市场监督管理局管理</w:t>
      </w:r>
      <w:r>
        <w:rPr>
          <w:rFonts w:ascii="仿宋_GB2312" w:eastAsia="仿宋_GB2312"/>
          <w:sz w:val="28"/>
          <w:szCs w:val="28"/>
        </w:rPr>
        <w:t xml:space="preserve"> </w:t>
      </w:r>
    </w:p>
    <w:p>
      <w:pPr>
        <w:pStyle w:val="8"/>
        <w:rPr>
          <w:rFonts w:hint="eastAsia" w:ascii="仿宋_GB2312" w:hAnsi="仿宋" w:eastAsia="仿宋_GB2312"/>
          <w:sz w:val="28"/>
          <w:szCs w:val="28"/>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书宋二">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0119"/>
      <w:docPartObj>
        <w:docPartGallery w:val="autotext"/>
      </w:docPartObj>
    </w:sdtPr>
    <w:sdtContent>
      <w:p>
        <w:pPr>
          <w:pStyle w:val="6"/>
          <w:jc w:val="center"/>
        </w:pPr>
        <w:r>
          <w:fldChar w:fldCharType="begin"/>
        </w:r>
        <w:r>
          <w:instrText xml:space="preserve"> PAGE   \* MERGEFORMAT </w:instrText>
        </w:r>
        <w:r>
          <w:fldChar w:fldCharType="separate"/>
        </w:r>
        <w:r>
          <w:rPr>
            <w:lang w:val="zh-CN"/>
          </w:rPr>
          <w:t>-</w:t>
        </w:r>
        <w:r>
          <w:t xml:space="preserve"> 5 -</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TMyY2IzMGNjYjI2OTAzN2ZiZjQyYjU1NmQ5M2UifQ=="/>
  </w:docVars>
  <w:rsids>
    <w:rsidRoot w:val="00B32679"/>
    <w:rsid w:val="000004FF"/>
    <w:rsid w:val="00011B4C"/>
    <w:rsid w:val="00014F35"/>
    <w:rsid w:val="000204C4"/>
    <w:rsid w:val="00045322"/>
    <w:rsid w:val="00053EFC"/>
    <w:rsid w:val="00061CD9"/>
    <w:rsid w:val="000623B5"/>
    <w:rsid w:val="00067D4D"/>
    <w:rsid w:val="000930C6"/>
    <w:rsid w:val="000A7648"/>
    <w:rsid w:val="000C40CF"/>
    <w:rsid w:val="000E4826"/>
    <w:rsid w:val="000F79E9"/>
    <w:rsid w:val="000F7DB4"/>
    <w:rsid w:val="00101CB5"/>
    <w:rsid w:val="00127110"/>
    <w:rsid w:val="001300B3"/>
    <w:rsid w:val="00130529"/>
    <w:rsid w:val="00141995"/>
    <w:rsid w:val="00160C33"/>
    <w:rsid w:val="00190AE8"/>
    <w:rsid w:val="00195180"/>
    <w:rsid w:val="001A2372"/>
    <w:rsid w:val="001B6E21"/>
    <w:rsid w:val="001C3E50"/>
    <w:rsid w:val="001C6932"/>
    <w:rsid w:val="001C725A"/>
    <w:rsid w:val="001D4CF7"/>
    <w:rsid w:val="001F0EEF"/>
    <w:rsid w:val="001F1C54"/>
    <w:rsid w:val="001F445B"/>
    <w:rsid w:val="00210B74"/>
    <w:rsid w:val="00251583"/>
    <w:rsid w:val="002776F4"/>
    <w:rsid w:val="002B49FB"/>
    <w:rsid w:val="002B783E"/>
    <w:rsid w:val="002E5566"/>
    <w:rsid w:val="002E70FD"/>
    <w:rsid w:val="003076DF"/>
    <w:rsid w:val="00341A24"/>
    <w:rsid w:val="00345DF4"/>
    <w:rsid w:val="00351ED3"/>
    <w:rsid w:val="003626D0"/>
    <w:rsid w:val="00373FB4"/>
    <w:rsid w:val="0037771F"/>
    <w:rsid w:val="003812B8"/>
    <w:rsid w:val="00387151"/>
    <w:rsid w:val="003901CA"/>
    <w:rsid w:val="0039479E"/>
    <w:rsid w:val="00396E4A"/>
    <w:rsid w:val="00397AD9"/>
    <w:rsid w:val="003A5FDA"/>
    <w:rsid w:val="003A773D"/>
    <w:rsid w:val="003A7F44"/>
    <w:rsid w:val="003B5EAA"/>
    <w:rsid w:val="003B64F6"/>
    <w:rsid w:val="003B74C3"/>
    <w:rsid w:val="003C2030"/>
    <w:rsid w:val="003F6E0B"/>
    <w:rsid w:val="00413A29"/>
    <w:rsid w:val="0041721D"/>
    <w:rsid w:val="00417486"/>
    <w:rsid w:val="00422D25"/>
    <w:rsid w:val="00431DF0"/>
    <w:rsid w:val="00435B96"/>
    <w:rsid w:val="0048725B"/>
    <w:rsid w:val="00487845"/>
    <w:rsid w:val="004B35E8"/>
    <w:rsid w:val="004B48D7"/>
    <w:rsid w:val="004C6996"/>
    <w:rsid w:val="004D363B"/>
    <w:rsid w:val="004E0A2B"/>
    <w:rsid w:val="004F1228"/>
    <w:rsid w:val="00500F8C"/>
    <w:rsid w:val="005017AC"/>
    <w:rsid w:val="00517D56"/>
    <w:rsid w:val="00522D22"/>
    <w:rsid w:val="0055450C"/>
    <w:rsid w:val="00561759"/>
    <w:rsid w:val="00591CFA"/>
    <w:rsid w:val="005D21DE"/>
    <w:rsid w:val="005E6448"/>
    <w:rsid w:val="00601AE5"/>
    <w:rsid w:val="00602822"/>
    <w:rsid w:val="006109C5"/>
    <w:rsid w:val="00642116"/>
    <w:rsid w:val="0064672C"/>
    <w:rsid w:val="0067546D"/>
    <w:rsid w:val="0067628C"/>
    <w:rsid w:val="00676455"/>
    <w:rsid w:val="00682134"/>
    <w:rsid w:val="006824CF"/>
    <w:rsid w:val="00694E7B"/>
    <w:rsid w:val="006970B1"/>
    <w:rsid w:val="006B7E1E"/>
    <w:rsid w:val="006D44E0"/>
    <w:rsid w:val="006D67D2"/>
    <w:rsid w:val="006E0EB3"/>
    <w:rsid w:val="006E49E5"/>
    <w:rsid w:val="007024A4"/>
    <w:rsid w:val="0071325A"/>
    <w:rsid w:val="00725A28"/>
    <w:rsid w:val="00742518"/>
    <w:rsid w:val="007425B8"/>
    <w:rsid w:val="00780717"/>
    <w:rsid w:val="00780A43"/>
    <w:rsid w:val="00784475"/>
    <w:rsid w:val="007920FB"/>
    <w:rsid w:val="00794824"/>
    <w:rsid w:val="007A61DE"/>
    <w:rsid w:val="007F4713"/>
    <w:rsid w:val="007F5AAD"/>
    <w:rsid w:val="00802569"/>
    <w:rsid w:val="0083253B"/>
    <w:rsid w:val="0083269E"/>
    <w:rsid w:val="00860665"/>
    <w:rsid w:val="00862CA8"/>
    <w:rsid w:val="0086662D"/>
    <w:rsid w:val="008741C9"/>
    <w:rsid w:val="00885EF2"/>
    <w:rsid w:val="008B29A9"/>
    <w:rsid w:val="008C33D6"/>
    <w:rsid w:val="008C6985"/>
    <w:rsid w:val="00904983"/>
    <w:rsid w:val="00906BF1"/>
    <w:rsid w:val="00907571"/>
    <w:rsid w:val="00930C32"/>
    <w:rsid w:val="009741E2"/>
    <w:rsid w:val="00985542"/>
    <w:rsid w:val="009B19BD"/>
    <w:rsid w:val="009B65CD"/>
    <w:rsid w:val="009C070A"/>
    <w:rsid w:val="009D01CC"/>
    <w:rsid w:val="009D4E50"/>
    <w:rsid w:val="009F16BC"/>
    <w:rsid w:val="00A37912"/>
    <w:rsid w:val="00A4104B"/>
    <w:rsid w:val="00A66407"/>
    <w:rsid w:val="00AA1224"/>
    <w:rsid w:val="00AE2720"/>
    <w:rsid w:val="00AE3359"/>
    <w:rsid w:val="00AE7967"/>
    <w:rsid w:val="00B03A40"/>
    <w:rsid w:val="00B043A5"/>
    <w:rsid w:val="00B072B6"/>
    <w:rsid w:val="00B20DCF"/>
    <w:rsid w:val="00B22184"/>
    <w:rsid w:val="00B32679"/>
    <w:rsid w:val="00B63992"/>
    <w:rsid w:val="00B70C44"/>
    <w:rsid w:val="00B71B29"/>
    <w:rsid w:val="00B738C7"/>
    <w:rsid w:val="00B7560F"/>
    <w:rsid w:val="00B813C6"/>
    <w:rsid w:val="00B85FAE"/>
    <w:rsid w:val="00B864DB"/>
    <w:rsid w:val="00B86D50"/>
    <w:rsid w:val="00BB3727"/>
    <w:rsid w:val="00BB6052"/>
    <w:rsid w:val="00BC5EBE"/>
    <w:rsid w:val="00BE475B"/>
    <w:rsid w:val="00C00962"/>
    <w:rsid w:val="00C023B0"/>
    <w:rsid w:val="00C57483"/>
    <w:rsid w:val="00C80094"/>
    <w:rsid w:val="00CC4ED0"/>
    <w:rsid w:val="00CE33AA"/>
    <w:rsid w:val="00D21336"/>
    <w:rsid w:val="00D21591"/>
    <w:rsid w:val="00D51910"/>
    <w:rsid w:val="00D5315E"/>
    <w:rsid w:val="00D71625"/>
    <w:rsid w:val="00D85775"/>
    <w:rsid w:val="00DB17A3"/>
    <w:rsid w:val="00DB51A6"/>
    <w:rsid w:val="00DC5D2E"/>
    <w:rsid w:val="00E0683A"/>
    <w:rsid w:val="00E11DB4"/>
    <w:rsid w:val="00E24F62"/>
    <w:rsid w:val="00E25CB8"/>
    <w:rsid w:val="00E4383B"/>
    <w:rsid w:val="00E57036"/>
    <w:rsid w:val="00E67A5D"/>
    <w:rsid w:val="00E75163"/>
    <w:rsid w:val="00E84E68"/>
    <w:rsid w:val="00E9505F"/>
    <w:rsid w:val="00EB5BD5"/>
    <w:rsid w:val="00EC0A1C"/>
    <w:rsid w:val="00EC5562"/>
    <w:rsid w:val="00ED32BF"/>
    <w:rsid w:val="00EE637B"/>
    <w:rsid w:val="00F04F3B"/>
    <w:rsid w:val="00F15A10"/>
    <w:rsid w:val="00F15D77"/>
    <w:rsid w:val="00F248C4"/>
    <w:rsid w:val="00F33E4B"/>
    <w:rsid w:val="00F35E82"/>
    <w:rsid w:val="00F363AD"/>
    <w:rsid w:val="00F54A74"/>
    <w:rsid w:val="00F6554B"/>
    <w:rsid w:val="00F67C53"/>
    <w:rsid w:val="00F7631B"/>
    <w:rsid w:val="00FA3D20"/>
    <w:rsid w:val="00FA62AA"/>
    <w:rsid w:val="00FB0D1C"/>
    <w:rsid w:val="00FE3786"/>
    <w:rsid w:val="059A0F63"/>
    <w:rsid w:val="09854B96"/>
    <w:rsid w:val="0AB17A25"/>
    <w:rsid w:val="13D1738A"/>
    <w:rsid w:val="16E53417"/>
    <w:rsid w:val="1C3A6D5A"/>
    <w:rsid w:val="1D7A2A58"/>
    <w:rsid w:val="1DF0613F"/>
    <w:rsid w:val="206B19D5"/>
    <w:rsid w:val="215041AA"/>
    <w:rsid w:val="22CF718A"/>
    <w:rsid w:val="22D84291"/>
    <w:rsid w:val="23197045"/>
    <w:rsid w:val="28880828"/>
    <w:rsid w:val="28BA3B91"/>
    <w:rsid w:val="29BD7D3C"/>
    <w:rsid w:val="2AE55E6C"/>
    <w:rsid w:val="2C016606"/>
    <w:rsid w:val="33843F01"/>
    <w:rsid w:val="379A689D"/>
    <w:rsid w:val="393671C3"/>
    <w:rsid w:val="3E95498C"/>
    <w:rsid w:val="438C7641"/>
    <w:rsid w:val="451900C5"/>
    <w:rsid w:val="4A171C24"/>
    <w:rsid w:val="539D6365"/>
    <w:rsid w:val="5A416626"/>
    <w:rsid w:val="7169742F"/>
    <w:rsid w:val="746E1643"/>
    <w:rsid w:val="75DF5F11"/>
    <w:rsid w:val="76216737"/>
    <w:rsid w:val="78A020AA"/>
    <w:rsid w:val="79DD09BA"/>
    <w:rsid w:val="7FA426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0"/>
    </w:r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wang正文"/>
    <w:qFormat/>
    <w:uiPriority w:val="0"/>
    <w:pPr>
      <w:widowControl w:val="0"/>
      <w:tabs>
        <w:tab w:val="left" w:pos="6840"/>
      </w:tabs>
      <w:topLinePunct/>
      <w:ind w:firstLine="420"/>
      <w:jc w:val="both"/>
    </w:pPr>
    <w:rPr>
      <w:rFonts w:ascii="Calibri" w:hAnsi="Calibri" w:eastAsia="宋体" w:cs="Times New Roman"/>
      <w:kern w:val="0"/>
      <w:sz w:val="21"/>
      <w:szCs w:val="24"/>
      <w:lang w:val="en-US" w:eastAsia="zh-CN" w:bidi="ar-SA"/>
    </w:rPr>
  </w:style>
  <w:style w:type="paragraph" w:customStyle="1" w:styleId="13">
    <w:name w:val="列出段落11"/>
    <w:basedOn w:val="1"/>
    <w:qFormat/>
    <w:uiPriority w:val="0"/>
    <w:pPr>
      <w:ind w:firstLine="420" w:firstLineChars="200"/>
    </w:pPr>
    <w:rPr>
      <w:rFonts w:ascii="Calibri" w:hAnsi="Calibri"/>
    </w:rPr>
  </w:style>
  <w:style w:type="character" w:customStyle="1" w:styleId="14">
    <w:name w:val="批注框文本 Char"/>
    <w:basedOn w:val="11"/>
    <w:link w:val="5"/>
    <w:semiHidden/>
    <w:qFormat/>
    <w:uiPriority w:val="99"/>
    <w:rPr>
      <w:rFonts w:ascii="Calibri" w:hAnsi="Calibri" w:eastAsia="宋体" w:cs="Times New Roman"/>
      <w:sz w:val="18"/>
      <w:szCs w:val="18"/>
    </w:rPr>
  </w:style>
  <w:style w:type="paragraph" w:customStyle="1" w:styleId="15">
    <w:name w:val="肥料正文"/>
    <w:basedOn w:val="1"/>
    <w:qFormat/>
    <w:uiPriority w:val="0"/>
    <w:pPr>
      <w:adjustRightInd w:val="0"/>
      <w:snapToGrid w:val="0"/>
      <w:spacing w:line="316" w:lineRule="auto"/>
      <w:ind w:firstLine="200" w:firstLineChars="200"/>
    </w:pPr>
    <w:rPr>
      <w:rFonts w:ascii="Times New Roman" w:hAnsi="Times New Roman" w:eastAsia="汉鼎简书宋二"/>
      <w:spacing w:val="2"/>
      <w:kern w:val="0"/>
      <w:sz w:val="22"/>
      <w:szCs w:val="24"/>
    </w:rPr>
  </w:style>
  <w:style w:type="character" w:customStyle="1" w:styleId="16">
    <w:name w:val="页眉 Char"/>
    <w:basedOn w:val="11"/>
    <w:link w:val="7"/>
    <w:qFormat/>
    <w:uiPriority w:val="99"/>
    <w:rPr>
      <w:rFonts w:ascii="Calibri" w:hAnsi="Calibri" w:eastAsia="宋体" w:cs="Times New Roman"/>
      <w:sz w:val="18"/>
      <w:szCs w:val="18"/>
    </w:rPr>
  </w:style>
  <w:style w:type="character" w:customStyle="1" w:styleId="17">
    <w:name w:val="页脚 Char"/>
    <w:basedOn w:val="11"/>
    <w:link w:val="6"/>
    <w:qFormat/>
    <w:uiPriority w:val="99"/>
    <w:rPr>
      <w:rFonts w:ascii="Calibri" w:hAnsi="Calibri" w:eastAsia="宋体" w:cs="Times New Roman"/>
      <w:sz w:val="18"/>
      <w:szCs w:val="18"/>
    </w:rPr>
  </w:style>
  <w:style w:type="character" w:customStyle="1" w:styleId="18">
    <w:name w:val="日期 Char"/>
    <w:basedOn w:val="11"/>
    <w:link w:val="4"/>
    <w:semiHidden/>
    <w:qFormat/>
    <w:uiPriority w:val="99"/>
    <w:rPr>
      <w:rFonts w:ascii="Calibri" w:hAnsi="Calibri" w:eastAsia="宋体" w:cs="Times New Roman"/>
    </w:rPr>
  </w:style>
  <w:style w:type="paragraph" w:customStyle="1" w:styleId="19">
    <w:name w:val="p0"/>
    <w:basedOn w:val="1"/>
    <w:qFormat/>
    <w:uiPriority w:val="0"/>
    <w:pPr>
      <w:widowControl/>
    </w:pPr>
    <w:rPr>
      <w:rFonts w:ascii="Times New Roman" w:hAnsi="Times New Roman"/>
      <w:kern w:val="0"/>
      <w:szCs w:val="21"/>
    </w:rPr>
  </w:style>
  <w:style w:type="character" w:customStyle="1" w:styleId="20">
    <w:name w:val="font31"/>
    <w:basedOn w:val="11"/>
    <w:qFormat/>
    <w:uiPriority w:val="0"/>
    <w:rPr>
      <w:rFonts w:hint="eastAsia" w:ascii="宋体" w:hAnsi="宋体" w:eastAsia="宋体" w:cs="宋体"/>
      <w:color w:val="000000"/>
      <w:sz w:val="20"/>
      <w:szCs w:val="20"/>
      <w:u w:val="none"/>
      <w:vertAlign w:val="subscript"/>
    </w:rPr>
  </w:style>
  <w:style w:type="character" w:customStyle="1" w:styleId="21">
    <w:name w:val="font01"/>
    <w:basedOn w:val="11"/>
    <w:qFormat/>
    <w:uiPriority w:val="0"/>
    <w:rPr>
      <w:rFonts w:hint="eastAsia" w:ascii="宋体" w:hAnsi="宋体" w:eastAsia="宋体" w:cs="宋体"/>
      <w:color w:val="000000"/>
      <w:sz w:val="20"/>
      <w:szCs w:val="20"/>
      <w:u w:val="none"/>
      <w:vertAlign w:val="superscript"/>
    </w:rPr>
  </w:style>
  <w:style w:type="character" w:customStyle="1" w:styleId="22">
    <w:name w:val="font2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AD5D9-A2C7-4E15-B1CA-9AB46F35768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2028</Words>
  <Characters>2254</Characters>
  <Lines>17</Lines>
  <Paragraphs>4</Paragraphs>
  <TotalTime>3</TotalTime>
  <ScaleCrop>false</ScaleCrop>
  <LinksUpToDate>false</LinksUpToDate>
  <CharactersWithSpaces>2275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2020-05-22T05:16:00Z</dcterms:created>
  <dc:creator>jiangdw</dc:creator>
  <cp:lastModifiedBy>朱正</cp:lastModifiedBy>
  <dcterms:modified xsi:type="dcterms:W3CDTF">2023-07-04T02:17:35Z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20ED0D455654420A829EE68B44B02796_13</vt:lpwstr>
  </property>
</Properties>
</file>