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黑体"/>
          <w:b w:val="0"/>
          <w:bCs/>
          <w:spacing w:val="20"/>
          <w:w w:val="105"/>
          <w:sz w:val="36"/>
          <w:szCs w:val="36"/>
          <w:lang w:val="en-US" w:eastAsia="zh-CN"/>
        </w:rPr>
      </w:pPr>
      <w:r>
        <w:rPr>
          <w:rFonts w:hint="eastAsia" w:ascii="仿宋_GB2312" w:hAnsi="宋体" w:eastAsia="仿宋_GB2312" w:cs="黑体"/>
          <w:b w:val="0"/>
          <w:bCs/>
          <w:spacing w:val="20"/>
          <w:w w:val="105"/>
          <w:sz w:val="36"/>
          <w:szCs w:val="36"/>
          <w:lang w:val="en-US" w:eastAsia="zh-CN"/>
        </w:rPr>
        <w:t>2023年盘锦市流通领域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黑体"/>
          <w:b w:val="0"/>
          <w:bCs/>
          <w:spacing w:val="20"/>
          <w:w w:val="105"/>
          <w:sz w:val="36"/>
          <w:szCs w:val="36"/>
        </w:rPr>
      </w:pPr>
      <w:r>
        <w:rPr>
          <w:rFonts w:hint="eastAsia" w:ascii="仿宋_GB2312" w:hAnsi="宋体" w:eastAsia="仿宋_GB2312" w:cs="黑体"/>
          <w:b w:val="0"/>
          <w:bCs/>
          <w:spacing w:val="20"/>
          <w:w w:val="105"/>
          <w:sz w:val="36"/>
          <w:szCs w:val="36"/>
          <w:lang w:val="en-US" w:eastAsia="zh-CN"/>
        </w:rPr>
        <w:t>儿童服装</w:t>
      </w:r>
      <w:r>
        <w:rPr>
          <w:rFonts w:hint="eastAsia" w:ascii="仿宋_GB2312" w:hAnsi="宋体" w:eastAsia="仿宋_GB2312" w:cs="黑体"/>
          <w:b w:val="0"/>
          <w:bCs/>
          <w:spacing w:val="20"/>
          <w:w w:val="105"/>
          <w:sz w:val="36"/>
          <w:szCs w:val="36"/>
        </w:rPr>
        <w:t>产品质量监督抽查实施细则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黑体"/>
          <w:b w:val="0"/>
          <w:bCs/>
          <w:spacing w:val="20"/>
          <w:w w:val="105"/>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1适用范围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本细则适用于</w:t>
      </w:r>
      <w:r>
        <w:rPr>
          <w:rFonts w:hint="eastAsia" w:ascii="仿宋_GB2312" w:eastAsia="仿宋_GB2312"/>
          <w:sz w:val="28"/>
          <w:szCs w:val="28"/>
          <w:lang w:val="en-US" w:eastAsia="zh-CN"/>
        </w:rPr>
        <w:t>2023年盘锦市流通领域儿童服装</w:t>
      </w:r>
      <w:r>
        <w:rPr>
          <w:rFonts w:hint="eastAsia" w:ascii="仿宋_GB2312" w:eastAsia="仿宋_GB2312"/>
          <w:sz w:val="28"/>
          <w:szCs w:val="28"/>
        </w:rPr>
        <w:t>产品质量</w:t>
      </w:r>
      <w:r>
        <w:rPr>
          <w:rFonts w:hint="eastAsia" w:ascii="仿宋_GB2312" w:eastAsia="仿宋_GB2312"/>
          <w:sz w:val="28"/>
          <w:szCs w:val="28"/>
          <w:lang w:val="en-US" w:eastAsia="zh-CN"/>
        </w:rPr>
        <w:t>市级</w:t>
      </w:r>
      <w:r>
        <w:rPr>
          <w:rFonts w:hint="eastAsia" w:ascii="仿宋_GB2312" w:eastAsia="仿宋_GB2312"/>
          <w:sz w:val="28"/>
          <w:szCs w:val="28"/>
        </w:rPr>
        <w:t>监督抽查，针对特殊情况的专项抽查、</w:t>
      </w:r>
      <w:r>
        <w:rPr>
          <w:rFonts w:hint="eastAsia" w:ascii="仿宋_GB2312" w:eastAsia="仿宋_GB2312"/>
          <w:sz w:val="28"/>
          <w:szCs w:val="28"/>
          <w:lang w:val="en-US" w:eastAsia="zh-CN"/>
        </w:rPr>
        <w:t>盘锦市</w:t>
      </w:r>
      <w:r>
        <w:rPr>
          <w:rFonts w:hint="eastAsia" w:ascii="仿宋_GB2312" w:eastAsia="仿宋_GB2312"/>
          <w:sz w:val="28"/>
          <w:szCs w:val="28"/>
        </w:rPr>
        <w:t>内县</w:t>
      </w:r>
      <w:r>
        <w:rPr>
          <w:rFonts w:hint="eastAsia" w:ascii="仿宋_GB2312" w:eastAsia="仿宋_GB2312"/>
          <w:sz w:val="28"/>
          <w:szCs w:val="28"/>
          <w:lang w:val="en-US" w:eastAsia="zh-CN"/>
        </w:rPr>
        <w:t>区</w:t>
      </w:r>
      <w:r>
        <w:rPr>
          <w:rFonts w:hint="eastAsia" w:ascii="仿宋_GB2312" w:eastAsia="仿宋_GB2312"/>
          <w:sz w:val="28"/>
          <w:szCs w:val="28"/>
        </w:rPr>
        <w:t>级市场监督管理部门组织的地方监督抽查可参照执行。</w:t>
      </w:r>
      <w:r>
        <w:rPr>
          <w:rFonts w:hint="eastAsia" w:ascii="仿宋_GB2312" w:hAnsi="Calibri" w:eastAsia="仿宋_GB2312" w:cs="Times New Roman"/>
          <w:sz w:val="28"/>
          <w:szCs w:val="28"/>
        </w:rPr>
        <w:t>本细则内容包括产品分类、术语和定义、生产企业规模划分、检验依据、抽样、检验要求、判定原则、异议处理</w:t>
      </w:r>
      <w:r>
        <w:rPr>
          <w:rFonts w:hint="eastAsia" w:ascii="仿宋_GB2312" w:eastAsia="仿宋_GB2312" w:cs="Times New Roman"/>
          <w:sz w:val="28"/>
          <w:szCs w:val="28"/>
          <w:lang w:val="en-US" w:eastAsia="zh-CN"/>
        </w:rPr>
        <w:t>及附则</w:t>
      </w:r>
      <w:r>
        <w:rPr>
          <w:rFonts w:hint="eastAsia" w:ascii="仿宋_GB2312" w:hAnsi="Calibri"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2产品分类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宋体" w:eastAsia="仿宋_GB2312"/>
          <w:sz w:val="28"/>
          <w:szCs w:val="28"/>
        </w:rPr>
      </w:pPr>
      <w:r>
        <w:rPr>
          <w:rFonts w:hint="eastAsia" w:ascii="仿宋_GB2312" w:eastAsia="仿宋_GB2312"/>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表1  产品分类及代码</w:t>
      </w:r>
    </w:p>
    <w:tbl>
      <w:tblPr>
        <w:tblStyle w:val="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2026"/>
        <w:gridCol w:w="214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一级分类</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二级分类</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01</w:t>
            </w:r>
          </w:p>
        </w:tc>
        <w:tc>
          <w:tcPr>
            <w:tcW w:w="2026"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04</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日用及纺织品</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纺织品</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儿童及婴幼儿服装</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2.2产品种类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本次抽查产品</w:t>
      </w:r>
      <w:r>
        <w:rPr>
          <w:rFonts w:hint="eastAsia" w:ascii="仿宋_GB2312" w:eastAsia="仿宋_GB2312"/>
          <w:sz w:val="28"/>
          <w:szCs w:val="28"/>
          <w:lang w:val="en-US" w:eastAsia="zh-CN"/>
        </w:rPr>
        <w:t>为</w:t>
      </w:r>
      <w:r>
        <w:rPr>
          <w:rFonts w:hint="eastAsia" w:ascii="仿宋_GB2312" w:eastAsia="仿宋_GB2312"/>
          <w:sz w:val="28"/>
          <w:szCs w:val="28"/>
        </w:rPr>
        <w:t>儿童服装</w:t>
      </w:r>
      <w:r>
        <w:rPr>
          <w:rFonts w:hint="eastAsia" w:ascii="仿宋_GB2312" w:eastAsia="仿宋_GB2312"/>
          <w:sz w:val="28"/>
          <w:szCs w:val="28"/>
          <w:lang w:eastAsia="zh-CN"/>
        </w:rPr>
        <w:t>，</w:t>
      </w:r>
      <w:r>
        <w:rPr>
          <w:rFonts w:hint="eastAsia" w:ascii="仿宋_GB2312" w:eastAsia="仿宋_GB2312"/>
          <w:sz w:val="28"/>
          <w:szCs w:val="28"/>
          <w:lang w:val="en-US" w:eastAsia="zh-CN"/>
        </w:rPr>
        <w:t>不包含</w:t>
      </w:r>
      <w:r>
        <w:rPr>
          <w:rFonts w:hint="eastAsia" w:ascii="仿宋_GB2312" w:eastAsia="仿宋_GB2312"/>
          <w:sz w:val="28"/>
          <w:szCs w:val="28"/>
        </w:rPr>
        <w:t>婴幼儿服装。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2.3术语和定义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2.3.1 儿童服装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年龄在36个月以上至14岁及以下（一般身高在100cm以上至160cm）的儿童穿着的服装产品。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2.3.2婴幼儿服装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年龄在36个月及以下（一般身高在100cm及以下）的婴幼儿穿着的服装产品。</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3</w:t>
      </w:r>
      <w:r>
        <w:rPr>
          <w:rFonts w:hint="eastAsia" w:ascii="仿宋_GB2312" w:eastAsia="仿宋_GB2312"/>
          <w:b/>
          <w:bCs/>
          <w:sz w:val="28"/>
          <w:szCs w:val="28"/>
          <w:lang w:val="en-US" w:eastAsia="zh-CN"/>
        </w:rPr>
        <w:t>企业</w:t>
      </w:r>
      <w:r>
        <w:rPr>
          <w:rFonts w:hint="eastAsia" w:ascii="仿宋_GB2312" w:eastAsia="仿宋_GB2312"/>
          <w:b/>
          <w:bCs/>
          <w:sz w:val="28"/>
          <w:szCs w:val="28"/>
        </w:rPr>
        <w:t>规模划分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4检验依据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GB 18401-2010《国家纺织产品基本安全技术规范》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GB 31701-2015《婴幼儿及儿童纺织产品安全技术规范》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GB/T 39508-2020</w:t>
      </w:r>
      <w:r>
        <w:rPr>
          <w:rFonts w:hint="eastAsia" w:ascii="仿宋_GB2312" w:eastAsia="仿宋_GB2312"/>
          <w:sz w:val="28"/>
          <w:szCs w:val="28"/>
          <w:lang w:eastAsia="zh-CN"/>
        </w:rPr>
        <w:t>《针织婴幼儿服装及儿童服装》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GB/T 31900-2015《机织儿童服装》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FZ/T 73045-2013《针织儿童服装》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GB/T 5296.4-2012《消费品使用说明 第4部分：纺织品和服装》</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相关的法律法规、部门规章和规范。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5抽样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5.1抽样型号或规格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应根据产品的销售单元（件/条/套）抽取相同规格、相同款式（货/款号）、相同花型和相同颜色的同一批次的产品。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5.2抽样基数、抽样数量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5.2.1在企业的成品库内或经销企业合格待销产品中随机抽取有产品质量检验合格证明或者以其他形式表明合格的、近期生产的产品。随机抽样工具选择扑克牌或骰子，随机数一般可使用随机数表、骰子或扑克牌等方法产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5.2.2抽样基数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抽样基数满足抽样数量即可。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5.2.3抽样数量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结合童装产品的特点和检测项目测试需求，抽样数量详见表2。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rPr>
      </w:pPr>
      <w:r>
        <w:rPr>
          <w:rFonts w:hint="eastAsia" w:ascii="仿宋" w:hAnsi="仿宋" w:eastAsia="仿宋" w:cs="仿宋"/>
          <w:sz w:val="21"/>
          <w:szCs w:val="21"/>
        </w:rPr>
        <w:t>表2 抽样数量</w:t>
      </w:r>
    </w:p>
    <w:tbl>
      <w:tblPr>
        <w:tblStyle w:val="9"/>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仿宋" w:hAnsi="仿宋" w:eastAsia="仿宋" w:cs="仿宋"/>
                <w:sz w:val="21"/>
                <w:szCs w:val="21"/>
                <w:lang w:val="en-US" w:bidi="ar-SA"/>
              </w:rPr>
            </w:pPr>
            <w:r>
              <w:rPr>
                <w:rFonts w:hint="eastAsia" w:ascii="仿宋" w:hAnsi="仿宋" w:eastAsia="仿宋" w:cs="仿宋"/>
                <w:sz w:val="21"/>
                <w:szCs w:val="21"/>
                <w:lang w:val="en-US" w:bidi="ar-SA"/>
              </w:rPr>
              <w:t>产品种类</w:t>
            </w:r>
          </w:p>
        </w:tc>
        <w:tc>
          <w:tcPr>
            <w:tcW w:w="63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vAlign w:val="center"/>
          </w:tcPr>
          <w:p>
            <w:pPr>
              <w:pStyle w:val="16"/>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仿宋" w:hAnsi="仿宋" w:eastAsia="仿宋" w:cs="仿宋"/>
                <w:sz w:val="21"/>
                <w:szCs w:val="21"/>
                <w:lang w:val="en-US" w:bidi="ar-SA"/>
              </w:rPr>
            </w:pPr>
            <w:r>
              <w:rPr>
                <w:rFonts w:hint="eastAsia" w:ascii="仿宋" w:hAnsi="仿宋" w:eastAsia="仿宋" w:cs="仿宋"/>
                <w:sz w:val="21"/>
                <w:szCs w:val="21"/>
                <w:lang w:val="en-US" w:bidi="ar-SA"/>
              </w:rPr>
              <w:t>儿童服装</w:t>
            </w:r>
          </w:p>
        </w:tc>
        <w:tc>
          <w:tcPr>
            <w:tcW w:w="63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2 件/条/套（其中备样1件/条/套）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注：如样品过小，可适当增加抽样数量，但不得超过检验、复检的合理需要。</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5.2.4抽样时应注意的问题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5.2.4.1应由抽样技术人员在现场进行抽取，不得由企业自行抽样。抽取的样品应当是有产品质量检验合格证明或者以其他形式表明合格的产品，其保质期应满足检验及异议处理时间要求。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5.2.4.2抽样时，抽样人员应当认真核实营业执照等被抽查企业的相关信息，确认企业不存在不得抽样的情形。遇有下列情况之一且能提供有效证明的，不得抽样：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（6）企业提供上级市场监管部门6个月内该种产品的监督抽查抽样单或者合格检验报告的。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5.3样品处置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检验样品及备用样品应分别封样，抽取的样品（连同其原包装和使用说明）用清洁的包装袋（箱）密封包装后加贴封条封样。包装的方式应能防止样品在运送过程中损坏或被污染，封样的方式应能有效防止未经授权的拆封。封样单上应有被抽查企业和抽样人员的签名，注明抽样日期，并确认封样单牢固。备用样品封存于受检单位。</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抽样人员将封存的样品，带回或寄送至抽样机构。抽样机构及时将抽查样品及抽样单等相关文书按时间节点要求寄往承检机构。样品在保存及运输过程中应妥善保管，做好防潮、防霉、防蛀措施，保持样品状态良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承检机构接收样品时应当检查、记录样品的外观、状态、封条有无破损及其他可能对检验结果或者综合判定产生影响的情况，确认样品与抽样文书的记录是否相符，并填写样品接收表（注：当封条若破损，样品有可能被调换或损坏时，或样品与抽查样品不一致时，立即与抽样单位联系，确认原因，同时上报任务委托单位取消该样品的抽查工作）。对检验样品加贴相应标识后入库待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5.4抽样单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5.5其他要求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可对抽样的关键过程留下影像资料。在进入企业、取样、双方签字确认等环节时，影像资料要能清晰记录企业名称、营业执照名称、被抽样的产品、抽样状态、抽样人员和企业陪同人员等。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5.6样品获取方式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hAnsi="仿宋" w:eastAsia="仿宋_GB2312" w:cs="仿宋"/>
          <w:sz w:val="28"/>
          <w:szCs w:val="28"/>
        </w:rPr>
        <w:t>监督抽查所需的</w:t>
      </w:r>
      <w:r>
        <w:rPr>
          <w:rFonts w:hint="eastAsia" w:ascii="仿宋_GB2312" w:hAnsi="仿宋" w:eastAsia="仿宋_GB2312" w:cs="仿宋"/>
          <w:sz w:val="28"/>
          <w:szCs w:val="28"/>
          <w:lang w:val="en-US" w:eastAsia="zh-CN"/>
        </w:rPr>
        <w:t>检验</w:t>
      </w:r>
      <w:r>
        <w:rPr>
          <w:rFonts w:hint="eastAsia" w:ascii="仿宋_GB2312" w:hAnsi="仿宋" w:eastAsia="仿宋_GB2312" w:cs="仿宋"/>
          <w:sz w:val="28"/>
          <w:szCs w:val="28"/>
        </w:rPr>
        <w:t>样品要在受检单位以购买方式获取</w:t>
      </w:r>
      <w:r>
        <w:rPr>
          <w:rFonts w:hint="eastAsia" w:ascii="仿宋_GB2312" w:hAnsi="仿宋" w:eastAsia="仿宋_GB2312" w:cs="仿宋"/>
          <w:sz w:val="28"/>
          <w:szCs w:val="28"/>
          <w:lang w:eastAsia="zh-CN"/>
        </w:rPr>
        <w:t>，</w:t>
      </w:r>
      <w:r>
        <w:rPr>
          <w:rFonts w:hint="eastAsia" w:ascii="仿宋" w:hAnsi="仿宋" w:eastAsia="仿宋" w:cs="仿宋"/>
          <w:sz w:val="28"/>
          <w:szCs w:val="28"/>
          <w:lang w:eastAsia="zh-CN"/>
        </w:rPr>
        <w:t>受检单位开具发票</w:t>
      </w:r>
      <w:r>
        <w:rPr>
          <w:rFonts w:hint="eastAsia" w:ascii="仿宋_GB2312" w:hAnsi="仿宋" w:eastAsia="仿宋_GB2312" w:cs="仿宋"/>
          <w:sz w:val="28"/>
          <w:szCs w:val="28"/>
        </w:rPr>
        <w:t>。</w:t>
      </w:r>
      <w:r>
        <w:rPr>
          <w:rFonts w:hint="eastAsia" w:ascii="仿宋_GB2312" w:eastAsia="仿宋_GB2312"/>
          <w:sz w:val="28"/>
          <w:szCs w:val="28"/>
        </w:rPr>
        <w:t>备用样品由</w:t>
      </w:r>
      <w:r>
        <w:rPr>
          <w:rFonts w:hint="eastAsia" w:ascii="仿宋_GB2312" w:hAnsi="仿宋" w:eastAsia="仿宋_GB2312" w:cs="仿宋"/>
          <w:sz w:val="28"/>
          <w:szCs w:val="28"/>
        </w:rPr>
        <w:t>受检单位</w:t>
      </w:r>
      <w:r>
        <w:rPr>
          <w:rFonts w:hint="eastAsia" w:ascii="仿宋_GB2312" w:eastAsia="仿宋_GB2312"/>
          <w:sz w:val="28"/>
          <w:szCs w:val="28"/>
        </w:rPr>
        <w:t>先行无偿提供。</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6检验要求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6.1检验项目</w:t>
      </w:r>
    </w:p>
    <w:p>
      <w:pPr>
        <w:keepNext w:val="0"/>
        <w:keepLines w:val="0"/>
        <w:pageBreakBefore w:val="0"/>
        <w:widowControl w:val="0"/>
        <w:kinsoku/>
        <w:wordWrap/>
        <w:overflowPunct/>
        <w:topLinePunct w:val="0"/>
        <w:autoSpaceDE/>
        <w:autoSpaceDN/>
        <w:bidi w:val="0"/>
        <w:adjustRightInd/>
        <w:snapToGrid/>
        <w:spacing w:line="540" w:lineRule="exact"/>
        <w:ind w:right="-202" w:rightChars="-96"/>
        <w:jc w:val="center"/>
        <w:textAlignment w:val="auto"/>
        <w:rPr>
          <w:rFonts w:hint="eastAsia" w:ascii="仿宋" w:hAnsi="仿宋" w:eastAsia="仿宋" w:cs="仿宋"/>
          <w:sz w:val="28"/>
          <w:szCs w:val="28"/>
        </w:rPr>
      </w:pPr>
      <w:r>
        <w:rPr>
          <w:rFonts w:hint="eastAsia" w:ascii="仿宋" w:hAnsi="仿宋" w:eastAsia="仿宋" w:cs="仿宋"/>
          <w:sz w:val="28"/>
          <w:szCs w:val="28"/>
        </w:rPr>
        <w:t>表3检验项目</w:t>
      </w:r>
    </w:p>
    <w:tbl>
      <w:tblPr>
        <w:tblStyle w:val="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70"/>
        <w:gridCol w:w="2390"/>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kern w:val="2"/>
                <w:sz w:val="21"/>
                <w:szCs w:val="21"/>
                <w:lang w:val="en-US" w:eastAsia="zh-CN"/>
              </w:rPr>
            </w:pPr>
            <w:r>
              <w:rPr>
                <w:rFonts w:hint="eastAsia" w:ascii="仿宋" w:hAnsi="仿宋" w:eastAsia="仿宋" w:cs="仿宋"/>
                <w:sz w:val="21"/>
                <w:szCs w:val="21"/>
              </w:rPr>
              <w:t>序号</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检验项目</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依据标准</w:t>
            </w:r>
          </w:p>
        </w:tc>
        <w:tc>
          <w:tcPr>
            <w:tcW w:w="25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3"/>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1</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甲醛含量</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GB/T 2912.1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3"/>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2</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pH值</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3"/>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3</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可分解致癌芳香胺染料</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GB/T 17592</w:t>
            </w:r>
          </w:p>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GB/T 23344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3"/>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4</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异味</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 18401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3"/>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5</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耐水色牢度</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GB/T 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3"/>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6</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耐酸汗渍色牢度</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3"/>
              <w:keepNext w:val="0"/>
              <w:keepLines w:val="0"/>
              <w:pageBreakBefore w:val="0"/>
              <w:numPr>
                <w:ilvl w:val="0"/>
                <w:numId w:val="0"/>
              </w:numPr>
              <w:kinsoku/>
              <w:wordWrap/>
              <w:overflowPunct/>
              <w:topLinePunct w:val="0"/>
              <w:autoSpaceDE/>
              <w:autoSpaceDN/>
              <w:bidi w:val="0"/>
              <w:spacing w:line="240" w:lineRule="auto"/>
              <w:ind w:leftChars="0"/>
              <w:jc w:val="center"/>
              <w:rPr>
                <w:rFonts w:hint="eastAsia" w:ascii="仿宋" w:hAnsi="仿宋" w:eastAsia="仿宋" w:cs="仿宋"/>
                <w:kern w:val="2"/>
                <w:sz w:val="21"/>
                <w:szCs w:val="21"/>
                <w:lang w:val="en-US" w:eastAsia="zh-CN"/>
              </w:rPr>
            </w:pPr>
            <w:r>
              <w:rPr>
                <w:rFonts w:hint="eastAsia" w:ascii="仿宋" w:hAnsi="仿宋" w:eastAsia="仿宋" w:cs="仿宋"/>
                <w:kern w:val="2"/>
                <w:sz w:val="21"/>
                <w:szCs w:val="21"/>
                <w:lang w:val="en-US" w:eastAsia="zh-CN"/>
              </w:rPr>
              <w:t>7</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耐碱汗渍色牢度</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GB/T 3922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耐干摩擦色牢度</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耐湿摩擦色牢度</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耐唾液色牢度</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adjustRightIn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18886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耐皂洗色牢度</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adjustRightIn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3921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重金属</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adjustRightIn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30157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邻苯二甲酸酯</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adjustRightIn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燃烧性能</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adjustRightIn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14644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附件抗拉强力</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adjustRightIn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附件锐利性</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auto"/>
              <w:ind w:right="33"/>
              <w:jc w:val="center"/>
              <w:rPr>
                <w:rFonts w:hint="eastAsia" w:ascii="仿宋" w:hAnsi="仿宋" w:eastAsia="仿宋" w:cs="仿宋"/>
                <w:sz w:val="21"/>
                <w:szCs w:val="21"/>
              </w:rPr>
            </w:pPr>
            <w:r>
              <w:rPr>
                <w:rFonts w:hint="eastAsia" w:ascii="仿宋" w:hAnsi="仿宋" w:eastAsia="仿宋" w:cs="仿宋"/>
                <w:sz w:val="21"/>
                <w:szCs w:val="21"/>
              </w:rPr>
              <w:t>GB/T 31702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绳带要求</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包装及产品中金属针等锐利物</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317014.5.1、4.5.2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2870" w:type="dxa"/>
            <w:vAlign w:val="center"/>
          </w:tcPr>
          <w:p>
            <w:pPr>
              <w:keepNext w:val="0"/>
              <w:keepLines w:val="0"/>
              <w:pageBreakBefore w:val="0"/>
              <w:widowControl/>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耐久性标签位置</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w:t>
            </w:r>
          </w:p>
        </w:tc>
        <w:tc>
          <w:tcPr>
            <w:tcW w:w="25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 31701 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衣带缝纫强力</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w:t>
            </w:r>
          </w:p>
        </w:tc>
        <w:tc>
          <w:tcPr>
            <w:tcW w:w="287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纽扣等不可拆卸附件拉力</w:t>
            </w:r>
          </w:p>
        </w:tc>
        <w:tc>
          <w:tcPr>
            <w:tcW w:w="23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明示产品标准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5" w:type="dxa"/>
            <w:vAlign w:val="center"/>
          </w:tcPr>
          <w:p>
            <w:pPr>
              <w:pStyle w:val="18"/>
              <w:keepNext w:val="0"/>
              <w:keepLines w:val="0"/>
              <w:pageBreakBefore w:val="0"/>
              <w:numPr>
                <w:ilvl w:val="0"/>
                <w:numId w:val="0"/>
              </w:numPr>
              <w:tabs>
                <w:tab w:val="left" w:pos="0"/>
              </w:tabs>
              <w:kinsoku/>
              <w:wordWrap/>
              <w:overflowPunct/>
              <w:topLinePunct w:val="0"/>
              <w:autoSpaceDE/>
              <w:autoSpaceDN/>
              <w:bidi w:val="0"/>
              <w:snapToGrid w:val="0"/>
              <w:spacing w:line="240" w:lineRule="auto"/>
              <w:ind w:leftChars="0" w:right="33" w:rightChars="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2870" w:type="dxa"/>
            <w:vAlign w:val="center"/>
          </w:tcPr>
          <w:p>
            <w:pPr>
              <w:keepNext w:val="0"/>
              <w:keepLines w:val="0"/>
              <w:pageBreakBefore w:val="0"/>
              <w:tabs>
                <w:tab w:val="left" w:pos="0"/>
              </w:tabs>
              <w:kinsoku/>
              <w:wordWrap/>
              <w:overflowPunct/>
              <w:topLinePunct w:val="0"/>
              <w:autoSpaceDE/>
              <w:autoSpaceDN/>
              <w:bidi w:val="0"/>
              <w:snapToGrid w:val="0"/>
              <w:spacing w:line="240" w:lineRule="auto"/>
              <w:ind w:right="33"/>
              <w:jc w:val="center"/>
              <w:rPr>
                <w:rFonts w:hint="eastAsia" w:ascii="仿宋" w:hAnsi="仿宋" w:eastAsia="仿宋" w:cs="仿宋"/>
                <w:sz w:val="21"/>
                <w:szCs w:val="21"/>
              </w:rPr>
            </w:pPr>
            <w:r>
              <w:rPr>
                <w:rFonts w:hint="eastAsia" w:ascii="仿宋" w:hAnsi="仿宋" w:eastAsia="仿宋" w:cs="仿宋"/>
                <w:sz w:val="21"/>
                <w:szCs w:val="21"/>
              </w:rPr>
              <w:t>纤维含量</w:t>
            </w:r>
          </w:p>
        </w:tc>
        <w:tc>
          <w:tcPr>
            <w:tcW w:w="2390" w:type="dxa"/>
            <w:vAlign w:val="center"/>
          </w:tcPr>
          <w:p>
            <w:pPr>
              <w:keepNext w:val="0"/>
              <w:keepLines w:val="0"/>
              <w:pageBreakBefore w:val="0"/>
              <w:tabs>
                <w:tab w:val="left" w:pos="0"/>
              </w:tabs>
              <w:kinsoku/>
              <w:wordWrap/>
              <w:overflowPunct/>
              <w:topLinePunct w:val="0"/>
              <w:autoSpaceDE/>
              <w:autoSpaceDN/>
              <w:bidi w:val="0"/>
              <w:adjustRightInd w:val="0"/>
              <w:snapToGrid w:val="0"/>
              <w:spacing w:line="240" w:lineRule="auto"/>
              <w:ind w:right="33"/>
              <w:jc w:val="center"/>
              <w:rPr>
                <w:rFonts w:hint="eastAsia" w:ascii="仿宋" w:hAnsi="仿宋" w:eastAsia="仿宋" w:cs="仿宋"/>
                <w:sz w:val="21"/>
                <w:szCs w:val="21"/>
              </w:rPr>
            </w:pPr>
            <w:r>
              <w:rPr>
                <w:rFonts w:hint="eastAsia" w:ascii="仿宋" w:hAnsi="仿宋" w:eastAsia="仿宋" w:cs="仿宋"/>
                <w:sz w:val="21"/>
                <w:szCs w:val="21"/>
              </w:rPr>
              <w:t>GB/T 29862</w:t>
            </w:r>
          </w:p>
          <w:p>
            <w:pPr>
              <w:keepNext w:val="0"/>
              <w:keepLines w:val="0"/>
              <w:pageBreakBefore w:val="0"/>
              <w:tabs>
                <w:tab w:val="left" w:pos="0"/>
              </w:tabs>
              <w:kinsoku/>
              <w:wordWrap/>
              <w:overflowPunct/>
              <w:topLinePunct w:val="0"/>
              <w:autoSpaceDE/>
              <w:autoSpaceDN/>
              <w:bidi w:val="0"/>
              <w:adjustRightInd w:val="0"/>
              <w:snapToGrid w:val="0"/>
              <w:spacing w:line="240" w:lineRule="auto"/>
              <w:ind w:right="33"/>
              <w:jc w:val="center"/>
              <w:rPr>
                <w:rFonts w:hint="eastAsia" w:ascii="仿宋" w:hAnsi="仿宋" w:eastAsia="仿宋" w:cs="仿宋"/>
                <w:sz w:val="21"/>
                <w:szCs w:val="21"/>
              </w:rPr>
            </w:pPr>
            <w:r>
              <w:rPr>
                <w:rFonts w:hint="eastAsia" w:ascii="仿宋" w:hAnsi="仿宋" w:eastAsia="仿宋" w:cs="仿宋"/>
                <w:sz w:val="21"/>
                <w:szCs w:val="21"/>
              </w:rPr>
              <w:t>明示产品标准</w:t>
            </w:r>
          </w:p>
        </w:tc>
        <w:tc>
          <w:tcPr>
            <w:tcW w:w="2590" w:type="dxa"/>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01057.1</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01057.2</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01057.3</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01057.4</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2910.1</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2910.2</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2910.3</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2910.4</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2910.6</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2910.7</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2910.8</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2910.11</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2910.12</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2910.18</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2910.20</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2910.22</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2910.101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01101</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01026</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01095</w:t>
            </w:r>
          </w:p>
          <w:p>
            <w:pPr>
              <w:keepNext w:val="0"/>
              <w:keepLines w:val="0"/>
              <w:pageBreakBefore w:val="0"/>
              <w:kinsoku/>
              <w:wordWrap/>
              <w:overflowPunct/>
              <w:topLinePunct w:val="0"/>
              <w:autoSpaceDE/>
              <w:autoSpaceDN/>
              <w:bidi w:val="0"/>
              <w:snapToGrid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FZ/T 30003</w:t>
            </w:r>
          </w:p>
          <w:p>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sz w:val="21"/>
                <w:szCs w:val="21"/>
              </w:rPr>
            </w:pPr>
            <w:r>
              <w:rPr>
                <w:rFonts w:hint="eastAsia" w:ascii="仿宋" w:hAnsi="仿宋" w:eastAsia="仿宋" w:cs="仿宋"/>
                <w:sz w:val="21"/>
                <w:szCs w:val="21"/>
              </w:rPr>
              <w:t>GB/T 16988等</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6.2检验应注意的问题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7判定原则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8异议处理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对被判定为不合格企业进行异议处理时，按以下方式进行：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8.1核查不合格项目相关证据，能够以记录（纸质记录或电子记录或影像记录）或与不合格项目相关联的其它质量数据等检验证据证明。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8.2对需要复检并具备检验条件的，处理企业异议的市场监督监督管理部门或者指定检验机构应当按原监督抽查细则对留存的样品或抽取的备用样品组织复检，复检项目如有仲裁法需用仲裁法进行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hint="eastAsia" w:ascii="仿宋_GB2312" w:eastAsia="仿宋_GB2312"/>
          <w:b/>
          <w:bCs/>
          <w:sz w:val="28"/>
          <w:szCs w:val="28"/>
        </w:rPr>
      </w:pPr>
      <w:r>
        <w:rPr>
          <w:rFonts w:hint="eastAsia" w:ascii="仿宋_GB2312" w:eastAsia="仿宋_GB2312"/>
          <w:b/>
          <w:bCs/>
          <w:sz w:val="28"/>
          <w:szCs w:val="28"/>
        </w:rPr>
        <w:t>9附则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lang w:val="en-US" w:eastAsia="zh-CN"/>
        </w:rPr>
      </w:pPr>
      <w:r>
        <w:rPr>
          <w:rFonts w:hint="eastAsia" w:ascii="仿宋_GB2312" w:eastAsia="仿宋_GB2312"/>
          <w:sz w:val="28"/>
          <w:szCs w:val="28"/>
        </w:rPr>
        <w:t>本细则编写单位:</w:t>
      </w:r>
      <w:r>
        <w:rPr>
          <w:rFonts w:hint="eastAsia" w:ascii="仿宋_GB2312" w:eastAsia="仿宋_GB2312"/>
          <w:sz w:val="28"/>
          <w:szCs w:val="28"/>
          <w:lang w:val="en-US" w:eastAsia="zh-CN"/>
        </w:rPr>
        <w:t>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p>
    <w:p>
      <w:pPr>
        <w:pStyle w:val="2"/>
        <w:rPr>
          <w:rFonts w:hint="eastAsia"/>
        </w:rPr>
      </w:pPr>
    </w:p>
    <w:sectPr>
      <w:footerReference r:id="rId3" w:type="default"/>
      <w:pgSz w:w="11906" w:h="16838"/>
      <w:pgMar w:top="1701" w:right="1644" w:bottom="170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书宋二">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B32679"/>
    <w:rsid w:val="00006809"/>
    <w:rsid w:val="00043969"/>
    <w:rsid w:val="00053EFC"/>
    <w:rsid w:val="000551A1"/>
    <w:rsid w:val="000623B5"/>
    <w:rsid w:val="000A56D7"/>
    <w:rsid w:val="000A7648"/>
    <w:rsid w:val="000C40CF"/>
    <w:rsid w:val="000E47D1"/>
    <w:rsid w:val="000E4826"/>
    <w:rsid w:val="000F228F"/>
    <w:rsid w:val="000F6F40"/>
    <w:rsid w:val="000F79E9"/>
    <w:rsid w:val="001300B3"/>
    <w:rsid w:val="00130529"/>
    <w:rsid w:val="00165F87"/>
    <w:rsid w:val="0016780F"/>
    <w:rsid w:val="0017412D"/>
    <w:rsid w:val="0017532A"/>
    <w:rsid w:val="0019735B"/>
    <w:rsid w:val="001B2666"/>
    <w:rsid w:val="001B6E21"/>
    <w:rsid w:val="001C3E50"/>
    <w:rsid w:val="001C6932"/>
    <w:rsid w:val="001D3CC1"/>
    <w:rsid w:val="001D4CF7"/>
    <w:rsid w:val="001F13E1"/>
    <w:rsid w:val="001F322B"/>
    <w:rsid w:val="001F445B"/>
    <w:rsid w:val="002575D8"/>
    <w:rsid w:val="00257E1B"/>
    <w:rsid w:val="00265DBD"/>
    <w:rsid w:val="0026634D"/>
    <w:rsid w:val="002843A2"/>
    <w:rsid w:val="002B49FB"/>
    <w:rsid w:val="002B5E3A"/>
    <w:rsid w:val="002B783E"/>
    <w:rsid w:val="002D5426"/>
    <w:rsid w:val="002E1000"/>
    <w:rsid w:val="002E70FD"/>
    <w:rsid w:val="003076DF"/>
    <w:rsid w:val="00337105"/>
    <w:rsid w:val="00341A24"/>
    <w:rsid w:val="00362F2F"/>
    <w:rsid w:val="00373FB4"/>
    <w:rsid w:val="0037771F"/>
    <w:rsid w:val="003812B8"/>
    <w:rsid w:val="00387151"/>
    <w:rsid w:val="003901CA"/>
    <w:rsid w:val="00396E4A"/>
    <w:rsid w:val="00397AD9"/>
    <w:rsid w:val="003A773D"/>
    <w:rsid w:val="003B19E9"/>
    <w:rsid w:val="00410934"/>
    <w:rsid w:val="00413A29"/>
    <w:rsid w:val="0041721D"/>
    <w:rsid w:val="00432AA5"/>
    <w:rsid w:val="00435B96"/>
    <w:rsid w:val="00435C7C"/>
    <w:rsid w:val="00444F90"/>
    <w:rsid w:val="0048725B"/>
    <w:rsid w:val="004953AA"/>
    <w:rsid w:val="004D363B"/>
    <w:rsid w:val="004E0A2B"/>
    <w:rsid w:val="004E32E9"/>
    <w:rsid w:val="005017AC"/>
    <w:rsid w:val="00517D56"/>
    <w:rsid w:val="00521FEB"/>
    <w:rsid w:val="00522D22"/>
    <w:rsid w:val="0053667A"/>
    <w:rsid w:val="005434C0"/>
    <w:rsid w:val="00561759"/>
    <w:rsid w:val="00571191"/>
    <w:rsid w:val="00591CFA"/>
    <w:rsid w:val="005B7972"/>
    <w:rsid w:val="005C0B6C"/>
    <w:rsid w:val="005D21DE"/>
    <w:rsid w:val="00601AE5"/>
    <w:rsid w:val="00602822"/>
    <w:rsid w:val="006109C5"/>
    <w:rsid w:val="00631C1E"/>
    <w:rsid w:val="00642116"/>
    <w:rsid w:val="006560A0"/>
    <w:rsid w:val="00676455"/>
    <w:rsid w:val="00684C0F"/>
    <w:rsid w:val="00694E7B"/>
    <w:rsid w:val="006B2EC1"/>
    <w:rsid w:val="006D44E0"/>
    <w:rsid w:val="006D67D2"/>
    <w:rsid w:val="006E0F18"/>
    <w:rsid w:val="006E49E5"/>
    <w:rsid w:val="007024A4"/>
    <w:rsid w:val="0071156B"/>
    <w:rsid w:val="00711FED"/>
    <w:rsid w:val="0071325A"/>
    <w:rsid w:val="00725A28"/>
    <w:rsid w:val="007425B8"/>
    <w:rsid w:val="007742DB"/>
    <w:rsid w:val="007920FB"/>
    <w:rsid w:val="007A773B"/>
    <w:rsid w:val="007E7D9F"/>
    <w:rsid w:val="00827A50"/>
    <w:rsid w:val="0083253B"/>
    <w:rsid w:val="008741C9"/>
    <w:rsid w:val="00877D4D"/>
    <w:rsid w:val="008B29A9"/>
    <w:rsid w:val="008B6E92"/>
    <w:rsid w:val="008C6985"/>
    <w:rsid w:val="00905231"/>
    <w:rsid w:val="00907571"/>
    <w:rsid w:val="0092168F"/>
    <w:rsid w:val="009403AA"/>
    <w:rsid w:val="009722FE"/>
    <w:rsid w:val="009741E2"/>
    <w:rsid w:val="00985542"/>
    <w:rsid w:val="009B65CD"/>
    <w:rsid w:val="009C070A"/>
    <w:rsid w:val="009D4E50"/>
    <w:rsid w:val="009E2B95"/>
    <w:rsid w:val="00A02984"/>
    <w:rsid w:val="00A66407"/>
    <w:rsid w:val="00A66B1F"/>
    <w:rsid w:val="00A75D8B"/>
    <w:rsid w:val="00A81FC2"/>
    <w:rsid w:val="00AA1224"/>
    <w:rsid w:val="00AC26D1"/>
    <w:rsid w:val="00AD71CC"/>
    <w:rsid w:val="00AE3359"/>
    <w:rsid w:val="00AE7967"/>
    <w:rsid w:val="00B03A40"/>
    <w:rsid w:val="00B043A5"/>
    <w:rsid w:val="00B20DCF"/>
    <w:rsid w:val="00B23F30"/>
    <w:rsid w:val="00B32679"/>
    <w:rsid w:val="00B70C44"/>
    <w:rsid w:val="00B8008C"/>
    <w:rsid w:val="00B813C6"/>
    <w:rsid w:val="00B864DB"/>
    <w:rsid w:val="00B919DB"/>
    <w:rsid w:val="00BB3727"/>
    <w:rsid w:val="00BC5EBE"/>
    <w:rsid w:val="00C00962"/>
    <w:rsid w:val="00C023B0"/>
    <w:rsid w:val="00C11AC1"/>
    <w:rsid w:val="00C3068D"/>
    <w:rsid w:val="00C6021F"/>
    <w:rsid w:val="00C65A10"/>
    <w:rsid w:val="00C80094"/>
    <w:rsid w:val="00CA3A55"/>
    <w:rsid w:val="00CE77C9"/>
    <w:rsid w:val="00D21591"/>
    <w:rsid w:val="00D5315E"/>
    <w:rsid w:val="00D61016"/>
    <w:rsid w:val="00D71625"/>
    <w:rsid w:val="00D80922"/>
    <w:rsid w:val="00D92D81"/>
    <w:rsid w:val="00D93FCC"/>
    <w:rsid w:val="00D94969"/>
    <w:rsid w:val="00DB17A3"/>
    <w:rsid w:val="00E0683A"/>
    <w:rsid w:val="00E15938"/>
    <w:rsid w:val="00E25CB8"/>
    <w:rsid w:val="00E43618"/>
    <w:rsid w:val="00E4383B"/>
    <w:rsid w:val="00E57036"/>
    <w:rsid w:val="00E67A5D"/>
    <w:rsid w:val="00EC5562"/>
    <w:rsid w:val="00EE637B"/>
    <w:rsid w:val="00F04F3B"/>
    <w:rsid w:val="00F15A10"/>
    <w:rsid w:val="00F15D77"/>
    <w:rsid w:val="00F33E4B"/>
    <w:rsid w:val="00F3482E"/>
    <w:rsid w:val="00F35E82"/>
    <w:rsid w:val="00F479EA"/>
    <w:rsid w:val="00F6554B"/>
    <w:rsid w:val="00F67C53"/>
    <w:rsid w:val="00F7631B"/>
    <w:rsid w:val="00F81BEF"/>
    <w:rsid w:val="00FA62AA"/>
    <w:rsid w:val="00FB0D1C"/>
    <w:rsid w:val="00FB28C3"/>
    <w:rsid w:val="00FB73D8"/>
    <w:rsid w:val="096739CD"/>
    <w:rsid w:val="0DBE1165"/>
    <w:rsid w:val="0FD430FD"/>
    <w:rsid w:val="1FB343D2"/>
    <w:rsid w:val="200F0F3A"/>
    <w:rsid w:val="2B546D5B"/>
    <w:rsid w:val="37071DA0"/>
    <w:rsid w:val="3B36388A"/>
    <w:rsid w:val="3F286A4D"/>
    <w:rsid w:val="4A600590"/>
    <w:rsid w:val="4DEB1DE4"/>
    <w:rsid w:val="6B851BC7"/>
    <w:rsid w:val="6C512734"/>
    <w:rsid w:val="79B40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unhideWhenUsed/>
    <w:qFormat/>
    <w:uiPriority w:val="99"/>
    <w:rPr>
      <w:rFonts w:ascii="宋体" w:hAnsi="Courier New"/>
      <w:kern w:val="0"/>
      <w:sz w:val="20"/>
      <w:szCs w:val="2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10"/>
    <w:link w:val="5"/>
    <w:semiHidden/>
    <w:qFormat/>
    <w:uiPriority w:val="99"/>
    <w:rPr>
      <w:rFonts w:ascii="Calibri" w:hAnsi="Calibri" w:eastAsia="宋体" w:cs="Times New Roman"/>
      <w:sz w:val="18"/>
      <w:szCs w:val="18"/>
    </w:rPr>
  </w:style>
  <w:style w:type="paragraph" w:customStyle="1" w:styleId="12">
    <w:name w:val="肥料正文"/>
    <w:basedOn w:val="1"/>
    <w:qFormat/>
    <w:uiPriority w:val="0"/>
    <w:pPr>
      <w:adjustRightInd w:val="0"/>
      <w:snapToGrid w:val="0"/>
      <w:spacing w:line="316" w:lineRule="auto"/>
      <w:ind w:firstLine="200" w:firstLineChars="200"/>
    </w:pPr>
    <w:rPr>
      <w:rFonts w:ascii="Times New Roman" w:hAnsi="Times New Roman" w:eastAsia="汉鼎简书宋二"/>
      <w:spacing w:val="2"/>
      <w:kern w:val="0"/>
      <w:sz w:val="22"/>
      <w:szCs w:val="24"/>
    </w:rPr>
  </w:style>
  <w:style w:type="character" w:customStyle="1" w:styleId="13">
    <w:name w:val="页眉 字符"/>
    <w:basedOn w:val="10"/>
    <w:link w:val="7"/>
    <w:qFormat/>
    <w:uiPriority w:val="99"/>
    <w:rPr>
      <w:rFonts w:ascii="Calibri" w:hAnsi="Calibri" w:eastAsia="宋体" w:cs="Times New Roman"/>
      <w:sz w:val="18"/>
      <w:szCs w:val="18"/>
    </w:rPr>
  </w:style>
  <w:style w:type="character" w:customStyle="1" w:styleId="14">
    <w:name w:val="页脚 字符"/>
    <w:basedOn w:val="10"/>
    <w:link w:val="6"/>
    <w:qFormat/>
    <w:uiPriority w:val="99"/>
    <w:rPr>
      <w:rFonts w:ascii="Calibri" w:hAnsi="Calibri" w:eastAsia="宋体" w:cs="Times New Roman"/>
      <w:sz w:val="18"/>
      <w:szCs w:val="18"/>
    </w:rPr>
  </w:style>
  <w:style w:type="character" w:customStyle="1" w:styleId="15">
    <w:name w:val="日期 字符"/>
    <w:basedOn w:val="10"/>
    <w:link w:val="4"/>
    <w:semiHidden/>
    <w:qFormat/>
    <w:uiPriority w:val="99"/>
    <w:rPr>
      <w:rFonts w:ascii="Calibri" w:hAnsi="Calibri" w:eastAsia="宋体" w:cs="Times New Roman"/>
    </w:rPr>
  </w:style>
  <w:style w:type="paragraph" w:customStyle="1" w:styleId="16">
    <w:name w:val="Table Paragraph"/>
    <w:basedOn w:val="1"/>
    <w:qFormat/>
    <w:uiPriority w:val="1"/>
    <w:rPr>
      <w:rFonts w:ascii="宋体" w:hAnsi="宋体" w:cs="宋体"/>
      <w:szCs w:val="24"/>
      <w:lang w:val="zh-CN" w:bidi="zh-CN"/>
    </w:rPr>
  </w:style>
  <w:style w:type="character" w:customStyle="1" w:styleId="17">
    <w:name w:val="纯文本 字符"/>
    <w:basedOn w:val="10"/>
    <w:link w:val="3"/>
    <w:qFormat/>
    <w:uiPriority w:val="99"/>
    <w:rPr>
      <w:rFonts w:ascii="宋体" w:hAnsi="Courier New" w:eastAsia="宋体" w:cs="Times New Roman"/>
      <w:kern w:val="0"/>
      <w:sz w:val="20"/>
      <w:szCs w:val="20"/>
    </w:rPr>
  </w:style>
  <w:style w:type="paragraph" w:styleId="18">
    <w:name w:val="List Paragraph"/>
    <w:basedOn w:val="1"/>
    <w:qFormat/>
    <w:uiPriority w:val="34"/>
    <w:pPr>
      <w:ind w:firstLine="420" w:firstLineChars="200"/>
    </w:p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2676</Words>
  <Characters>3399</Characters>
  <Lines>32</Lines>
  <Paragraphs>9</Paragraphs>
  <TotalTime>1</TotalTime>
  <ScaleCrop>false</ScaleCrop>
  <LinksUpToDate>false</LinksUpToDate>
  <CharactersWithSpaces>3462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2021-09-10T00:44:00Z</dcterms:created>
  <dc:creator>jiangdw</dc:creator>
  <cp:lastModifiedBy>pc</cp:lastModifiedBy>
  <dcterms:modified xsi:type="dcterms:W3CDTF">2023-02-17T12:14:55Z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0A29629A344C456788CA8CE6E374A0D5</vt:lpwstr>
  </property>
</Properties>
</file>