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023年</w:t>
      </w:r>
      <w:r>
        <w:rPr>
          <w:rFonts w:hint="eastAsia" w:ascii="仿宋" w:hAnsi="仿宋" w:eastAsia="仿宋" w:cs="仿宋"/>
          <w:b/>
          <w:bCs/>
          <w:sz w:val="32"/>
          <w:szCs w:val="32"/>
          <w:lang w:eastAsia="zh-CN"/>
        </w:rPr>
        <w:t>盘锦市</w:t>
      </w:r>
      <w:r>
        <w:rPr>
          <w:rFonts w:hint="eastAsia" w:ascii="仿宋" w:hAnsi="仿宋" w:eastAsia="仿宋" w:cs="仿宋"/>
          <w:b/>
          <w:bCs/>
          <w:sz w:val="32"/>
          <w:szCs w:val="32"/>
          <w:lang w:val="en-US" w:eastAsia="zh-CN"/>
        </w:rPr>
        <w:t>流通领域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蓄电池</w:t>
      </w:r>
      <w:r>
        <w:rPr>
          <w:rFonts w:hint="eastAsia" w:ascii="仿宋" w:hAnsi="仿宋" w:eastAsia="仿宋" w:cs="仿宋"/>
          <w:b/>
          <w:bCs/>
          <w:sz w:val="32"/>
          <w:szCs w:val="32"/>
          <w:lang w:val="en-US" w:eastAsia="zh-CN"/>
        </w:rPr>
        <w:t>和充电电池</w:t>
      </w:r>
      <w:r>
        <w:rPr>
          <w:rFonts w:hint="eastAsia" w:ascii="仿宋" w:hAnsi="仿宋" w:eastAsia="仿宋" w:cs="仿宋"/>
          <w:b/>
          <w:bCs/>
          <w:sz w:val="32"/>
          <w:szCs w:val="32"/>
        </w:rPr>
        <w:t>产品质量监督抽查实施细则</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 适用范围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本细则适用于</w:t>
      </w:r>
      <w:r>
        <w:rPr>
          <w:rFonts w:hint="eastAsia" w:ascii="仿宋" w:hAnsi="仿宋" w:eastAsia="仿宋" w:cs="仿宋"/>
          <w:sz w:val="28"/>
          <w:szCs w:val="28"/>
          <w:lang w:val="en-US" w:eastAsia="zh-CN"/>
        </w:rPr>
        <w:t>2023年</w:t>
      </w:r>
      <w:r>
        <w:rPr>
          <w:rFonts w:hint="eastAsia" w:ascii="仿宋" w:hAnsi="仿宋" w:eastAsia="仿宋" w:cs="仿宋"/>
          <w:sz w:val="28"/>
          <w:szCs w:val="28"/>
          <w:lang w:eastAsia="zh-CN"/>
        </w:rPr>
        <w:t>盘锦市蓄电池</w:t>
      </w:r>
      <w:r>
        <w:rPr>
          <w:rFonts w:hint="eastAsia" w:ascii="仿宋" w:hAnsi="仿宋" w:eastAsia="仿宋" w:cs="仿宋"/>
          <w:sz w:val="28"/>
          <w:szCs w:val="28"/>
          <w:lang w:val="en-US" w:eastAsia="zh-CN"/>
        </w:rPr>
        <w:t>和充电电池</w:t>
      </w:r>
      <w:r>
        <w:rPr>
          <w:rFonts w:hint="eastAsia" w:ascii="仿宋" w:hAnsi="仿宋" w:eastAsia="仿宋" w:cs="仿宋"/>
          <w:sz w:val="28"/>
          <w:szCs w:val="28"/>
        </w:rPr>
        <w:t>产品质量</w:t>
      </w:r>
      <w:r>
        <w:rPr>
          <w:rFonts w:hint="eastAsia" w:ascii="仿宋_GB2312" w:hAnsi="宋体" w:eastAsia="仿宋_GB2312"/>
          <w:sz w:val="28"/>
          <w:szCs w:val="28"/>
          <w:lang w:val="en-US" w:eastAsia="zh-CN"/>
        </w:rPr>
        <w:t>市级</w:t>
      </w:r>
      <w:r>
        <w:rPr>
          <w:rFonts w:hint="eastAsia" w:ascii="仿宋" w:hAnsi="仿宋" w:eastAsia="仿宋" w:cs="仿宋"/>
          <w:sz w:val="28"/>
          <w:szCs w:val="28"/>
        </w:rPr>
        <w:t>监督抽查，针对特殊情况的专项抽查、</w:t>
      </w:r>
      <w:r>
        <w:rPr>
          <w:rFonts w:hint="eastAsia" w:ascii="仿宋" w:hAnsi="仿宋" w:eastAsia="仿宋" w:cs="仿宋"/>
          <w:sz w:val="28"/>
          <w:szCs w:val="28"/>
          <w:lang w:eastAsia="zh-CN"/>
        </w:rPr>
        <w:t>盘锦市内</w:t>
      </w:r>
      <w:r>
        <w:rPr>
          <w:rFonts w:hint="eastAsia" w:ascii="仿宋" w:hAnsi="仿宋" w:eastAsia="仿宋" w:cs="仿宋"/>
          <w:sz w:val="28"/>
          <w:szCs w:val="28"/>
        </w:rPr>
        <w:t>区县级地方市场监督管理部门组织的地方</w:t>
      </w:r>
      <w:r>
        <w:rPr>
          <w:rFonts w:hint="eastAsia" w:ascii="仿宋" w:hAnsi="仿宋" w:eastAsia="仿宋" w:cs="仿宋"/>
          <w:sz w:val="28"/>
          <w:szCs w:val="28"/>
          <w:lang w:eastAsia="zh-CN"/>
        </w:rPr>
        <w:t>专项</w:t>
      </w:r>
      <w:r>
        <w:rPr>
          <w:rFonts w:hint="eastAsia" w:ascii="仿宋" w:hAnsi="仿宋" w:eastAsia="仿宋" w:cs="仿宋"/>
          <w:sz w:val="28"/>
          <w:szCs w:val="28"/>
        </w:rPr>
        <w:t>监督抽查可参照执行。本实施细则内容包括产品分类、术语和定义、企业规模划分、检验依据、抽样、检验要求、判定原则及异议处理及附则。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2产品分类、术语和定义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表1  产品分类及代码</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1860"/>
        <w:gridCol w:w="20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95"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电池</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电动车动力电池</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电动车用铅酸蓄电池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08</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电池</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电动车动力电池</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电动车用锂离子电池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电池</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锂离子电池</w:t>
            </w:r>
          </w:p>
        </w:tc>
        <w:tc>
          <w:tcPr>
            <w:tcW w:w="1995"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08</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电池</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铅酸蓄电池</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起动用铅酸蓄电池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07</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08</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04</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电工及材料</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电池</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原电池</w:t>
            </w:r>
          </w:p>
        </w:tc>
        <w:tc>
          <w:tcPr>
            <w:tcW w:w="1995"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bookmarkStart w:id="5" w:name="_GoBack"/>
            <w:bookmarkEnd w:id="5"/>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rPr>
        <w:t>本细则涉及产品种类：</w:t>
      </w:r>
      <w:r>
        <w:rPr>
          <w:rFonts w:hint="eastAsia" w:ascii="仿宋" w:hAnsi="仿宋" w:eastAsia="仿宋" w:cs="仿宋"/>
          <w:sz w:val="28"/>
          <w:szCs w:val="28"/>
          <w:lang w:val="en-US" w:eastAsia="zh-CN"/>
        </w:rPr>
        <w:t>电动自行车电池、原电池、锂离子电池、起动用铅酸蓄电池。</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企业规模划分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 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GB/T</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22199.1-2017电动助力车用阀控式铅酸蓄电池第1部分：技术条件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GB/T 8897.1-2013 原电池第1部分：总则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GB/T 8897.2-2013原电池第2部分：外形尺寸和电性能要求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QB/T 2947.3-2008电动自行车用蓄电池及充电器第3部分：锂离子蓄电池及充电器</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GB/T 36972-2018电动自行车用锂离子蓄电池</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GB/T 5008.1-2013起动用铅酸蓄电池第1部分:技术条件和试验方法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相关的法律法规、部门规章和规范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经备案现行有效的企业标准、</w:t>
      </w:r>
      <w:r>
        <w:rPr>
          <w:rFonts w:hint="eastAsia" w:ascii="仿宋" w:hAnsi="仿宋" w:eastAsia="仿宋" w:cs="仿宋"/>
          <w:sz w:val="28"/>
          <w:szCs w:val="28"/>
          <w:lang w:eastAsia="zh-CN"/>
        </w:rPr>
        <w:t>团体标准、</w:t>
      </w:r>
      <w:r>
        <w:rPr>
          <w:rFonts w:hint="eastAsia" w:ascii="仿宋" w:hAnsi="仿宋" w:eastAsia="仿宋" w:cs="仿宋"/>
          <w:sz w:val="28"/>
          <w:szCs w:val="28"/>
        </w:rPr>
        <w:t>地方标准及产品明示质量要求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5.1抽样型号或规格</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抽取样品应为同一型号规格、同一批次的产品，优先抽取企业的主导产品。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5.2抽样基数及数量</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2 </w:t>
      </w:r>
      <w:r>
        <w:rPr>
          <w:rFonts w:hint="eastAsia" w:ascii="仿宋" w:hAnsi="仿宋" w:eastAsia="仿宋" w:cs="仿宋"/>
          <w:b w:val="0"/>
          <w:bCs w:val="0"/>
          <w:color w:val="000000" w:themeColor="text1"/>
          <w:sz w:val="24"/>
          <w:szCs w:val="24"/>
          <w:highlight w:val="none"/>
          <w14:textFill>
            <w14:solidFill>
              <w14:schemeClr w14:val="tx1"/>
            </w14:solidFill>
          </w14:textFill>
        </w:rPr>
        <w:t>抽取样品数</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量</w:t>
      </w:r>
      <w:r>
        <w:rPr>
          <w:rFonts w:hint="eastAsia" w:ascii="仿宋" w:hAnsi="仿宋" w:eastAsia="仿宋" w:cs="仿宋"/>
          <w:b w:val="0"/>
          <w:bCs w:val="0"/>
          <w:color w:val="000000" w:themeColor="text1"/>
          <w:sz w:val="24"/>
          <w:szCs w:val="24"/>
          <w:highlight w:val="none"/>
          <w14:textFill>
            <w14:solidFill>
              <w14:schemeClr w14:val="tx1"/>
            </w14:solidFill>
          </w14:textFill>
        </w:rPr>
        <w:t>/批次</w:t>
      </w:r>
    </w:p>
    <w:tbl>
      <w:tblPr>
        <w:tblStyle w:val="4"/>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579"/>
        <w:gridCol w:w="1702"/>
        <w:gridCol w:w="160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序号</w:t>
            </w:r>
          </w:p>
        </w:tc>
        <w:tc>
          <w:tcPr>
            <w:tcW w:w="2579"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产</w:t>
            </w:r>
            <w:r>
              <w:rPr>
                <w:rFonts w:hint="eastAsia" w:ascii="仿宋" w:hAnsi="仿宋" w:eastAsia="仿宋" w:cs="仿宋"/>
                <w:b w:val="0"/>
                <w:bCs w:val="0"/>
                <w:color w:val="000000" w:themeColor="text1"/>
                <w:sz w:val="24"/>
                <w:szCs w:val="24"/>
                <w:highlight w:val="none"/>
                <w14:textFill>
                  <w14:solidFill>
                    <w14:schemeClr w14:val="tx1"/>
                  </w14:solidFill>
                </w14:textFill>
              </w:rPr>
              <w:t>品类别</w:t>
            </w:r>
          </w:p>
        </w:tc>
        <w:tc>
          <w:tcPr>
            <w:tcW w:w="1702" w:type="dxa"/>
            <w:noWrap w:val="0"/>
            <w:vAlign w:val="center"/>
          </w:tcPr>
          <w:p>
            <w:pPr>
              <w:keepNext w:val="0"/>
              <w:keepLines w:val="0"/>
              <w:pageBreakBefore w:val="0"/>
              <w:kinsoku/>
              <w:wordWrap/>
              <w:overflowPunct/>
              <w:topLinePunct w:val="0"/>
              <w:autoSpaceDE/>
              <w:autoSpaceDN/>
              <w:bidi w:val="0"/>
              <w:snapToGrid w:val="0"/>
              <w:spacing w:line="440" w:lineRule="exact"/>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抽取样品数</w:t>
            </w:r>
          </w:p>
        </w:tc>
        <w:tc>
          <w:tcPr>
            <w:tcW w:w="1601" w:type="dxa"/>
            <w:noWrap w:val="0"/>
            <w:vAlign w:val="center"/>
          </w:tcPr>
          <w:p>
            <w:pPr>
              <w:keepNext w:val="0"/>
              <w:keepLines w:val="0"/>
              <w:pageBreakBefore w:val="0"/>
              <w:kinsoku/>
              <w:wordWrap/>
              <w:overflowPunct/>
              <w:topLinePunct w:val="0"/>
              <w:autoSpaceDE/>
              <w:autoSpaceDN/>
              <w:bidi w:val="0"/>
              <w:snapToGrid w:val="0"/>
              <w:spacing w:line="440" w:lineRule="exact"/>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检验用样品</w:t>
            </w:r>
          </w:p>
        </w:tc>
        <w:tc>
          <w:tcPr>
            <w:tcW w:w="1741" w:type="dxa"/>
            <w:noWrap w:val="0"/>
            <w:vAlign w:val="center"/>
          </w:tcPr>
          <w:p>
            <w:pPr>
              <w:keepNext w:val="0"/>
              <w:keepLines w:val="0"/>
              <w:pageBreakBefore w:val="0"/>
              <w:kinsoku/>
              <w:wordWrap/>
              <w:overflowPunct/>
              <w:topLinePunct w:val="0"/>
              <w:autoSpaceDE/>
              <w:autoSpaceDN/>
              <w:bidi w:val="0"/>
              <w:snapToGrid w:val="0"/>
              <w:spacing w:line="440" w:lineRule="exact"/>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铅蓄电池</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2组</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1组</w:t>
            </w:r>
          </w:p>
        </w:tc>
        <w:tc>
          <w:tcPr>
            <w:tcW w:w="174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原电池</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36节</w:t>
            </w:r>
          </w:p>
        </w:tc>
        <w:tc>
          <w:tcPr>
            <w:tcW w:w="160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18节</w:t>
            </w:r>
          </w:p>
        </w:tc>
        <w:tc>
          <w:tcPr>
            <w:tcW w:w="174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18节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锂离子电池</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4块</w:t>
            </w:r>
          </w:p>
        </w:tc>
        <w:tc>
          <w:tcPr>
            <w:tcW w:w="160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2块</w:t>
            </w:r>
          </w:p>
        </w:tc>
        <w:tc>
          <w:tcPr>
            <w:tcW w:w="174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起动用铅酸蓄电池</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2块</w:t>
            </w:r>
          </w:p>
        </w:tc>
        <w:tc>
          <w:tcPr>
            <w:tcW w:w="160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1块</w:t>
            </w:r>
          </w:p>
        </w:tc>
        <w:tc>
          <w:tcPr>
            <w:tcW w:w="174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1块</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在市场上抽样，抽样基数满足抽样数量即可。</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5.3.1 对抽取的样品，在封条上分别注明“检验样品”与“备用样品”，当场对样品密封，为保证样品的真实性，要有相应的防拆封措施，并保证封条在运输过程中不会破损。封条上至少要有产品名称和</w:t>
      </w:r>
      <w:r>
        <w:rPr>
          <w:rFonts w:hint="eastAsia" w:ascii="仿宋" w:hAnsi="仿宋" w:eastAsia="仿宋" w:cs="仿宋"/>
          <w:sz w:val="28"/>
          <w:szCs w:val="28"/>
          <w:lang w:eastAsia="zh-CN"/>
        </w:rPr>
        <w:t>型</w:t>
      </w:r>
      <w:r>
        <w:rPr>
          <w:rFonts w:hint="eastAsia" w:ascii="仿宋" w:hAnsi="仿宋" w:eastAsia="仿宋" w:cs="仿宋"/>
          <w:sz w:val="28"/>
          <w:szCs w:val="28"/>
        </w:rPr>
        <w:t>号、抽样日期、抽样人签字、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被抽查企业代表签字及抽样单位公章等相关信息。</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5.3.2 抽取的样品应按运输条件包装好，由抽样人员通过合适的途径运送至样品检验机构。采用邮寄方式运送的样品，抽样人员应对样品做好防破损包装，交由有资质的公司运送。运输时严防雨淋、日晒、受潮。装卸时轻搬轻放，严禁掷抛。</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5.3.3 备用样品及检验结束后的样品应该贮存在阴凉、干燥、避免阳光直射的安全处。应保证备用样品在整个保存期间签封完整无损。</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5.5其他要求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val="0"/>
        <w:kinsoku/>
        <w:wordWrap/>
        <w:overflowPunct/>
        <w:topLinePunct w:val="0"/>
        <w:autoSpaceDE/>
        <w:autoSpaceDN/>
        <w:bidi w:val="0"/>
        <w:snapToGrid w:val="0"/>
        <w:spacing w:line="540" w:lineRule="exact"/>
        <w:ind w:firstLine="548" w:firstLineChars="196"/>
        <w:contextualSpacing/>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_GB2312" w:hAnsi="宋体" w:eastAsia="仿宋_GB2312"/>
          <w:color w:val="000000"/>
          <w:sz w:val="28"/>
          <w:szCs w:val="28"/>
          <w:lang w:val="en-US" w:eastAsia="zh-CN"/>
        </w:rPr>
        <w:t>6</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.1 监督抽查所需的检验样品要在受检单位以购买方式获取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_GB2312" w:eastAsia="仿宋_GB2312"/>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.2 当被抽样生产者对检验结论有异议需要复检时，应当向</w:t>
      </w:r>
      <w:r>
        <w:rPr>
          <w:rFonts w:hint="eastAsia" w:ascii="仿宋" w:hAnsi="仿宋" w:eastAsia="仿宋" w:cs="仿宋"/>
          <w:sz w:val="28"/>
          <w:szCs w:val="28"/>
          <w:lang w:eastAsia="zh-CN"/>
        </w:rPr>
        <w:t>受检单位</w:t>
      </w:r>
      <w:r>
        <w:rPr>
          <w:rFonts w:hint="eastAsia" w:ascii="仿宋" w:hAnsi="仿宋" w:eastAsia="仿宋" w:cs="仿宋"/>
          <w:sz w:val="28"/>
          <w:szCs w:val="28"/>
        </w:rPr>
        <w:t>支付备用样品费用。</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5.7抽样注意事项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抽样时，抽样人员应当认真核实营业执照等被抽查企业的相关信息，确认受检单位不存在不得抽样的情形。遇有下列情况之一且能提供有效证明的，不得抽样：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（6）企业提供上级市场监管部门6个月内该种产品的监督抽查抽样单或者合格检验报告的。</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6.1检验项目</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lang w:eastAsia="zh-CN"/>
        </w:rPr>
      </w:pPr>
      <w:bookmarkStart w:id="0" w:name="_Toc7225"/>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3铅酸蓄电池GB/T22199.1-2017</w:t>
      </w:r>
      <w:r>
        <w:rPr>
          <w:rFonts w:hint="eastAsia" w:ascii="仿宋" w:hAnsi="仿宋" w:eastAsia="仿宋" w:cs="仿宋"/>
          <w:sz w:val="24"/>
          <w:szCs w:val="24"/>
          <w:lang w:eastAsia="zh-CN"/>
        </w:rPr>
        <w:t>的检验项目</w:t>
      </w:r>
      <w:bookmarkEnd w:id="0"/>
    </w:p>
    <w:tbl>
      <w:tblPr>
        <w:tblStyle w:val="4"/>
        <w:tblW w:w="859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2322"/>
        <w:gridCol w:w="2365"/>
        <w:gridCol w:w="3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857"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序号</w:t>
            </w:r>
          </w:p>
        </w:tc>
        <w:tc>
          <w:tcPr>
            <w:tcW w:w="2322"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检验项目名称</w:t>
            </w:r>
          </w:p>
        </w:tc>
        <w:tc>
          <w:tcPr>
            <w:tcW w:w="2365"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判定依据</w:t>
            </w:r>
          </w:p>
        </w:tc>
        <w:tc>
          <w:tcPr>
            <w:tcW w:w="3049"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检验</w:t>
            </w:r>
            <w:r>
              <w:rPr>
                <w:rFonts w:hint="eastAsia" w:ascii="仿宋" w:hAnsi="仿宋" w:eastAsia="仿宋" w:cs="仿宋"/>
                <w:sz w:val="24"/>
                <w:szCs w:val="24"/>
                <w:highlight w:val="none"/>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外观</w:t>
            </w:r>
          </w:p>
        </w:tc>
        <w:tc>
          <w:tcPr>
            <w:tcW w:w="236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22199.1-2017</w:t>
            </w:r>
          </w:p>
          <w:p>
            <w:pPr>
              <w:pStyle w:val="3"/>
              <w:rPr>
                <w:rFonts w:hint="eastAsia"/>
                <w:sz w:val="24"/>
                <w:szCs w:val="24"/>
                <w:highlight w:val="none"/>
                <w:lang w:eastAsia="zh-CN"/>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极性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2hr容量</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低温容量</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尺寸</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能量密度</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快速充电能力</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恒功率放电能力</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耐振动能力</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大电流放电特性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阻燃性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蓄电池结构</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标志</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GB/T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9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注：检验项目以实际样品适用项为准。</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bookmarkStart w:id="1" w:name="_Toc30875"/>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4原电池GB/T 8897.1-2013、GB/T 8897.2-2013</w:t>
      </w:r>
      <w:r>
        <w:rPr>
          <w:rFonts w:hint="eastAsia" w:ascii="仿宋" w:hAnsi="仿宋" w:eastAsia="仿宋" w:cs="仿宋"/>
          <w:sz w:val="24"/>
          <w:szCs w:val="24"/>
          <w:lang w:eastAsia="zh-CN"/>
        </w:rPr>
        <w:t>的检验项目</w:t>
      </w:r>
      <w:bookmarkEnd w:id="1"/>
    </w:p>
    <w:tbl>
      <w:tblPr>
        <w:tblStyle w:val="4"/>
        <w:tblW w:w="859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504"/>
        <w:gridCol w:w="2365"/>
        <w:gridCol w:w="3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675"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504"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检验项目名称</w:t>
            </w:r>
          </w:p>
        </w:tc>
        <w:tc>
          <w:tcPr>
            <w:tcW w:w="2365"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判定依据</w:t>
            </w:r>
          </w:p>
        </w:tc>
        <w:tc>
          <w:tcPr>
            <w:tcW w:w="3049"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电池尺寸</w:t>
            </w:r>
          </w:p>
        </w:tc>
        <w:tc>
          <w:tcPr>
            <w:tcW w:w="236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8897.1-2013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8897.2-2013</w:t>
            </w:r>
          </w:p>
          <w:p>
            <w:pPr>
              <w:pStyle w:val="3"/>
              <w:rPr>
                <w:rFonts w:hint="eastAsia"/>
                <w:sz w:val="24"/>
                <w:szCs w:val="24"/>
                <w:lang w:eastAsia="zh-CN"/>
              </w:rPr>
            </w:pPr>
          </w:p>
        </w:tc>
        <w:tc>
          <w:tcPr>
            <w:tcW w:w="3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极端</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8897.2-2013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分类（电化学体系）</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电池电压的可互换性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放电性能（MAD的符合性）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8897.2-2013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尺寸稳定性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放电量</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安全性</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型号</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标志</w:t>
            </w:r>
          </w:p>
        </w:tc>
        <w:tc>
          <w:tcPr>
            <w:tcW w:w="23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4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8897.1-2013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9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注：检验项目以实际样品适用项为准。</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bookmarkStart w:id="2" w:name="_Toc9812"/>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5 锂离子电池QB/T 2947.3-2008</w:t>
      </w:r>
      <w:r>
        <w:rPr>
          <w:rFonts w:hint="eastAsia" w:ascii="仿宋" w:hAnsi="仿宋" w:eastAsia="仿宋" w:cs="仿宋"/>
          <w:sz w:val="24"/>
          <w:szCs w:val="24"/>
          <w:lang w:eastAsia="zh-CN"/>
        </w:rPr>
        <w:t>的检验项目</w:t>
      </w:r>
      <w:bookmarkEnd w:id="2"/>
    </w:p>
    <w:tbl>
      <w:tblPr>
        <w:tblStyle w:val="4"/>
        <w:tblW w:w="859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2322"/>
        <w:gridCol w:w="2376"/>
        <w:gridCol w:w="3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857"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322"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检验项目名称</w:t>
            </w:r>
          </w:p>
        </w:tc>
        <w:tc>
          <w:tcPr>
            <w:tcW w:w="2376"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判定依据</w:t>
            </w:r>
          </w:p>
        </w:tc>
        <w:tc>
          <w:tcPr>
            <w:tcW w:w="3038"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外观</w:t>
            </w:r>
          </w:p>
        </w:tc>
        <w:tc>
          <w:tcPr>
            <w:tcW w:w="237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QB/T 2947.3-2008</w:t>
            </w: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极性标志</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短路</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过充电</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过放电</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高低温冲击</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浸水</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p>
        </w:tc>
        <w:tc>
          <w:tcPr>
            <w:tcW w:w="30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QB/T 2947.3-2008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9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注：检验项目以实际样品适用项为准。</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bookmarkStart w:id="3" w:name="_Toc6909"/>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6锂离子电池GB/T 36972-2018</w:t>
      </w:r>
      <w:r>
        <w:rPr>
          <w:rFonts w:hint="eastAsia" w:ascii="仿宋" w:hAnsi="仿宋" w:eastAsia="仿宋" w:cs="仿宋"/>
          <w:sz w:val="24"/>
          <w:szCs w:val="24"/>
          <w:lang w:eastAsia="zh-CN"/>
        </w:rPr>
        <w:t>的检验项目</w:t>
      </w:r>
      <w:bookmarkEnd w:id="3"/>
    </w:p>
    <w:tbl>
      <w:tblPr>
        <w:tblStyle w:val="4"/>
        <w:tblW w:w="859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2322"/>
        <w:gridCol w:w="2376"/>
        <w:gridCol w:w="3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857"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322"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检验项目名称</w:t>
            </w:r>
          </w:p>
        </w:tc>
        <w:tc>
          <w:tcPr>
            <w:tcW w:w="2376"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判定依据</w:t>
            </w:r>
          </w:p>
        </w:tc>
        <w:tc>
          <w:tcPr>
            <w:tcW w:w="3038"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外形尺寸</w:t>
            </w:r>
          </w:p>
        </w:tc>
        <w:tc>
          <w:tcPr>
            <w:tcW w:w="237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GB/T 36972-2018</w:t>
            </w: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QB/T 4428-2012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极性标志</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外观</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I2A放电</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静电放电</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放电过流保护</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短路保护</w:t>
            </w:r>
          </w:p>
        </w:tc>
        <w:tc>
          <w:tcPr>
            <w:tcW w:w="23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0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9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注：检验项目以实际样品适用项为准。</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bookmarkStart w:id="4" w:name="_Toc12343"/>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7 起动用铅酸蓄电池GB/T 5008.1-2013</w:t>
      </w:r>
      <w:r>
        <w:rPr>
          <w:rFonts w:hint="eastAsia" w:ascii="仿宋" w:hAnsi="仿宋" w:eastAsia="仿宋" w:cs="仿宋"/>
          <w:sz w:val="24"/>
          <w:szCs w:val="24"/>
          <w:lang w:eastAsia="zh-CN"/>
        </w:rPr>
        <w:t>的检验项目</w:t>
      </w:r>
      <w:bookmarkEnd w:id="4"/>
    </w:p>
    <w:tbl>
      <w:tblPr>
        <w:tblStyle w:val="4"/>
        <w:tblW w:w="859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2322"/>
        <w:gridCol w:w="2067"/>
        <w:gridCol w:w="3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857"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322"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检验项目名称</w:t>
            </w:r>
          </w:p>
        </w:tc>
        <w:tc>
          <w:tcPr>
            <w:tcW w:w="2067"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判定依据</w:t>
            </w:r>
          </w:p>
        </w:tc>
        <w:tc>
          <w:tcPr>
            <w:tcW w:w="3347"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端子尺寸</w:t>
            </w:r>
          </w:p>
        </w:tc>
        <w:tc>
          <w:tcPr>
            <w:tcW w:w="20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GB/T 5008.1-2013</w:t>
            </w:r>
          </w:p>
        </w:tc>
        <w:tc>
          <w:tcPr>
            <w:tcW w:w="334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5008.1-2013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端子极性</w:t>
            </w:r>
          </w:p>
        </w:tc>
        <w:tc>
          <w:tcPr>
            <w:tcW w:w="2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34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5008.1-2013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容量</w:t>
            </w:r>
          </w:p>
        </w:tc>
        <w:tc>
          <w:tcPr>
            <w:tcW w:w="2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34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5008.1-2013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充电接受能力</w:t>
            </w:r>
          </w:p>
        </w:tc>
        <w:tc>
          <w:tcPr>
            <w:tcW w:w="2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34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5008.1-2013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耐振动性能</w:t>
            </w:r>
          </w:p>
        </w:tc>
        <w:tc>
          <w:tcPr>
            <w:tcW w:w="2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34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GB/T 5008.1-2013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32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标志</w:t>
            </w:r>
          </w:p>
        </w:tc>
        <w:tc>
          <w:tcPr>
            <w:tcW w:w="2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p>
        </w:tc>
        <w:tc>
          <w:tcPr>
            <w:tcW w:w="334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5008.1-2013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59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注：检验项目以实际样品适用项为准。</w:t>
            </w:r>
          </w:p>
        </w:tc>
      </w:tr>
    </w:tbl>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 检验应注意的问题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若被检产品明示的质量要求高于本细则中的检验项目依据的标准要求时，应按被检产品明示的质量要求判定。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若被检产品明示的质量要求低于本细则中的检验项目依据的强制性标准要求时，应按强制性标准要求判定。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检验过程中遇到有样品失效或者其它情况致使检验无法进行时，必须如实记录即时情况，并有充分的证实材料。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当一个检验项目有多个检测方法时，出现可疑结果或不合格结果（即在有异议）时，应以产品标准中规定方法的测定结果为准。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7 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8 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对被判定为不合格产品进行异议处理时，按以下方式进行：</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 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对需要复检并具备检验条件的，处理企业异议的市场监督管理部门或者指定检验机构应当按原监督抽查方案对留存的样品或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 xml:space="preserve">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13E13EAF"/>
    <w:rsid w:val="034649C6"/>
    <w:rsid w:val="13E13EAF"/>
    <w:rsid w:val="233641F7"/>
    <w:rsid w:val="253B1906"/>
    <w:rsid w:val="26F07244"/>
    <w:rsid w:val="26F77EE4"/>
    <w:rsid w:val="29E21551"/>
    <w:rsid w:val="2B581BFB"/>
    <w:rsid w:val="326D10BA"/>
    <w:rsid w:val="32AD7E17"/>
    <w:rsid w:val="33781647"/>
    <w:rsid w:val="38287576"/>
    <w:rsid w:val="3ABA3274"/>
    <w:rsid w:val="4EC42650"/>
    <w:rsid w:val="50BE1286"/>
    <w:rsid w:val="5734456D"/>
    <w:rsid w:val="627A7ED9"/>
    <w:rsid w:val="68250075"/>
    <w:rsid w:val="6D3642D2"/>
    <w:rsid w:val="714878DF"/>
    <w:rsid w:val="727D3BFA"/>
    <w:rsid w:val="736C382E"/>
    <w:rsid w:val="75342E66"/>
    <w:rsid w:val="7536299A"/>
    <w:rsid w:val="7CF2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List 2"/>
    <w:basedOn w:val="1"/>
    <w:qFormat/>
    <w:uiPriority w:val="0"/>
    <w:pPr>
      <w:widowControl w:val="0"/>
      <w:spacing w:line="360" w:lineRule="auto"/>
      <w:ind w:left="0" w:leftChars="0" w:firstLine="0" w:firstLineChars="0"/>
      <w:jc w:val="both"/>
    </w:pPr>
    <w:rPr>
      <w:rFonts w:ascii="宋体" w:hAnsi="宋体" w:eastAsia="宋体"/>
    </w:rPr>
  </w:style>
  <w:style w:type="paragraph" w:customStyle="1" w:styleId="6">
    <w:name w:val="wang正文"/>
    <w:basedOn w:val="1"/>
    <w:qFormat/>
    <w:uiPriority w:val="0"/>
    <w:pPr>
      <w:tabs>
        <w:tab w:val="left" w:pos="6840"/>
      </w:tabs>
      <w:topLinePunct/>
      <w:ind w:firstLine="420"/>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2896</Words>
  <Characters>3783</Characters>
  <Lines>0</Lines>
  <Paragraphs>0</Paragraphs>
  <TotalTime>0</TotalTime>
  <ScaleCrop>false</ScaleCrop>
  <LinksUpToDate>false</LinksUpToDate>
  <CharactersWithSpaces>3872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2022-04-26T09:26:00Z</dcterms:created>
  <dc:creator>Administrator</dc:creator>
  <cp:lastModifiedBy>pc</cp:lastModifiedBy>
  <dcterms:modified xsi:type="dcterms:W3CDTF">2023-02-15T11:45:45Z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7DA2AF41366845F8BD988B69515EB79A</vt:lpwstr>
  </property>
</Properties>
</file>