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1" w:leftChars="0" w:firstLine="0" w:firstLineChars="0"/>
        <w:jc w:val="center"/>
        <w:rPr>
          <w:rFonts w:hint="eastAsia" w:ascii="仿宋_GB2312" w:hAnsi="宋体" w:eastAsia="仿宋_GB2312" w:cs="黑体"/>
          <w:b/>
          <w:bCs w:val="0"/>
          <w:spacing w:val="20"/>
          <w:w w:val="105"/>
          <w:sz w:val="32"/>
          <w:szCs w:val="32"/>
          <w:lang w:val="en-US" w:eastAsia="zh-CN"/>
        </w:rPr>
      </w:pPr>
      <w:r>
        <w:rPr>
          <w:rFonts w:hint="eastAsia" w:ascii="仿宋_GB2312" w:hAnsi="宋体" w:eastAsia="仿宋_GB2312" w:cs="黑体"/>
          <w:b/>
          <w:bCs w:val="0"/>
          <w:spacing w:val="20"/>
          <w:w w:val="105"/>
          <w:sz w:val="32"/>
          <w:szCs w:val="32"/>
          <w:lang w:val="en-US" w:eastAsia="zh-CN"/>
        </w:rPr>
        <w:t>2023年盘锦市流通领域</w:t>
      </w:r>
    </w:p>
    <w:p>
      <w:pPr>
        <w:pStyle w:val="17"/>
        <w:ind w:left="-1" w:leftChars="0" w:firstLine="0" w:firstLineChars="0"/>
        <w:jc w:val="center"/>
        <w:rPr>
          <w:rFonts w:ascii="仿宋_GB2312" w:hAnsi="宋体" w:eastAsia="仿宋_GB2312" w:cs="黑体"/>
          <w:bCs/>
          <w:spacing w:val="20"/>
          <w:w w:val="105"/>
          <w:sz w:val="32"/>
          <w:szCs w:val="32"/>
        </w:rPr>
      </w:pPr>
      <w:r>
        <w:rPr>
          <w:rFonts w:hint="eastAsia" w:ascii="仿宋" w:hAnsi="仿宋" w:eastAsia="仿宋" w:cs="仿宋"/>
          <w:b/>
          <w:bCs w:val="0"/>
          <w:sz w:val="32"/>
          <w:szCs w:val="32"/>
          <w:lang w:val="en-US" w:eastAsia="zh-CN"/>
        </w:rPr>
        <w:t>燃气器具类产品（燃气灶）</w:t>
      </w:r>
      <w:r>
        <w:rPr>
          <w:rFonts w:hint="eastAsia" w:ascii="仿宋_GB2312" w:hAnsi="宋体" w:eastAsia="仿宋_GB2312" w:cs="黑体"/>
          <w:b/>
          <w:bCs w:val="0"/>
          <w:spacing w:val="20"/>
          <w:w w:val="105"/>
          <w:sz w:val="32"/>
          <w:szCs w:val="32"/>
        </w:rPr>
        <w:t>产品质量监督抽查实施细则</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_GB2312" w:eastAsia="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1适用</w:t>
      </w:r>
      <w:r>
        <w:rPr>
          <w:rFonts w:hint="eastAsia" w:ascii="仿宋_GB2312" w:hAnsi="宋体" w:eastAsia="仿宋_GB2312"/>
          <w:b/>
          <w:bCs/>
          <w:sz w:val="28"/>
          <w:szCs w:val="28"/>
        </w:rPr>
        <w:t>范围</w:t>
      </w:r>
    </w:p>
    <w:p>
      <w:pPr>
        <w:pStyle w:val="17"/>
        <w:keepNext w:val="0"/>
        <w:keepLines w:val="0"/>
        <w:pageBreakBefore w:val="0"/>
        <w:widowControl w:val="0"/>
        <w:kinsoku/>
        <w:wordWrap/>
        <w:overflowPunct/>
        <w:topLinePunct w:val="0"/>
        <w:autoSpaceDE/>
        <w:autoSpaceDN/>
        <w:bidi w:val="0"/>
        <w:spacing w:line="540" w:lineRule="exact"/>
        <w:ind w:left="-1" w:leftChars="0" w:firstLine="0" w:firstLineChars="0"/>
        <w:jc w:val="left"/>
        <w:textAlignment w:val="auto"/>
        <w:rPr>
          <w:rFonts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本细则适用于</w:t>
      </w:r>
      <w:r>
        <w:rPr>
          <w:rFonts w:hint="eastAsia" w:ascii="仿宋_GB2312" w:hAnsi="宋体" w:eastAsia="仿宋_GB2312"/>
          <w:sz w:val="28"/>
          <w:szCs w:val="28"/>
          <w:lang w:val="en-US" w:eastAsia="zh-CN"/>
        </w:rPr>
        <w:t>2023年</w:t>
      </w:r>
      <w:r>
        <w:rPr>
          <w:rFonts w:hint="eastAsia" w:ascii="仿宋_GB2312" w:hAnsi="宋体" w:eastAsia="仿宋_GB2312"/>
          <w:sz w:val="28"/>
          <w:szCs w:val="28"/>
          <w:lang w:eastAsia="zh-CN"/>
        </w:rPr>
        <w:t>盘锦市</w:t>
      </w:r>
      <w:r>
        <w:rPr>
          <w:rFonts w:hint="eastAsia" w:ascii="仿宋_GB2312" w:hAnsi="宋体" w:eastAsia="仿宋_GB2312"/>
          <w:sz w:val="28"/>
          <w:szCs w:val="28"/>
          <w:lang w:val="en-US" w:eastAsia="zh-CN"/>
        </w:rPr>
        <w:t>流通领域</w:t>
      </w:r>
      <w:r>
        <w:rPr>
          <w:rFonts w:hint="eastAsia" w:ascii="仿宋" w:hAnsi="仿宋" w:eastAsia="仿宋" w:cs="仿宋"/>
          <w:sz w:val="28"/>
          <w:szCs w:val="28"/>
          <w:lang w:val="en-US" w:eastAsia="zh-CN"/>
        </w:rPr>
        <w:t>燃气器具类产品（燃气灶）</w:t>
      </w:r>
      <w:r>
        <w:rPr>
          <w:rFonts w:hint="eastAsia" w:ascii="仿宋_GB2312" w:hAnsi="宋体" w:eastAsia="仿宋_GB2312"/>
          <w:sz w:val="28"/>
          <w:szCs w:val="28"/>
        </w:rPr>
        <w:t>产品质量</w:t>
      </w:r>
      <w:r>
        <w:rPr>
          <w:rFonts w:hint="eastAsia" w:ascii="仿宋_GB2312" w:hAnsi="宋体" w:eastAsia="仿宋_GB2312"/>
          <w:sz w:val="28"/>
          <w:szCs w:val="28"/>
          <w:lang w:val="en-US" w:eastAsia="zh-CN"/>
        </w:rPr>
        <w:t>市级</w:t>
      </w:r>
      <w:r>
        <w:rPr>
          <w:rFonts w:hint="eastAsia" w:ascii="仿宋_GB2312" w:hAnsi="宋体" w:eastAsia="仿宋_GB2312"/>
          <w:sz w:val="28"/>
          <w:szCs w:val="28"/>
        </w:rPr>
        <w:t>监督抽查，针对特殊情况的专项抽查、</w:t>
      </w:r>
      <w:r>
        <w:rPr>
          <w:rFonts w:hint="eastAsia" w:ascii="仿宋_GB2312" w:hAnsi="宋体" w:eastAsia="仿宋_GB2312"/>
          <w:sz w:val="28"/>
          <w:szCs w:val="28"/>
          <w:lang w:eastAsia="zh-CN"/>
        </w:rPr>
        <w:t>盘锦市</w:t>
      </w:r>
      <w:r>
        <w:rPr>
          <w:rFonts w:hint="eastAsia" w:ascii="仿宋_GB2312" w:hAnsi="宋体" w:eastAsia="仿宋_GB2312"/>
          <w:sz w:val="28"/>
          <w:szCs w:val="28"/>
        </w:rPr>
        <w:t>内县</w:t>
      </w:r>
      <w:r>
        <w:rPr>
          <w:rFonts w:hint="eastAsia" w:ascii="仿宋_GB2312" w:hAnsi="宋体" w:eastAsia="仿宋_GB2312"/>
          <w:sz w:val="28"/>
          <w:szCs w:val="28"/>
          <w:lang w:val="en-US" w:eastAsia="zh-CN"/>
        </w:rPr>
        <w:t>区</w:t>
      </w:r>
      <w:r>
        <w:rPr>
          <w:rFonts w:hint="eastAsia" w:ascii="仿宋_GB2312" w:hAnsi="宋体" w:eastAsia="仿宋_GB2312"/>
          <w:sz w:val="28"/>
          <w:szCs w:val="28"/>
        </w:rPr>
        <w:t>级</w:t>
      </w:r>
      <w:bookmarkStart w:id="0" w:name="_GoBack"/>
      <w:bookmarkEnd w:id="0"/>
      <w:r>
        <w:rPr>
          <w:rFonts w:hint="eastAsia" w:ascii="仿宋_GB2312" w:hAnsi="宋体" w:eastAsia="仿宋_GB2312"/>
          <w:sz w:val="28"/>
          <w:szCs w:val="28"/>
        </w:rPr>
        <w:t>地方市场监督管理部门组织的地方监督抽查可参照执行。</w:t>
      </w:r>
      <w:r>
        <w:rPr>
          <w:rFonts w:hint="eastAsia" w:ascii="仿宋_GB2312" w:eastAsia="仿宋_GB2312"/>
          <w:sz w:val="28"/>
          <w:szCs w:val="28"/>
        </w:rPr>
        <w:t>本细则内容包括产品分类、术语和定义、生产企业规模划分、检验依据、抽样、检验要求、判定原则、异议处理</w:t>
      </w:r>
      <w:r>
        <w:rPr>
          <w:rFonts w:hint="eastAsia" w:ascii="仿宋_GB2312" w:eastAsia="仿宋_GB2312"/>
          <w:sz w:val="28"/>
          <w:szCs w:val="28"/>
          <w:lang w:val="en-US" w:eastAsia="zh-CN"/>
        </w:rPr>
        <w:t>及附则</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2</w:t>
      </w:r>
      <w:r>
        <w:rPr>
          <w:rFonts w:hint="eastAsia" w:ascii="仿宋_GB2312" w:hAnsi="宋体" w:eastAsia="仿宋_GB2312"/>
          <w:b/>
          <w:bCs/>
          <w:sz w:val="28"/>
          <w:szCs w:val="28"/>
        </w:rPr>
        <w:t>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表1  产品分类及代码</w:t>
      </w:r>
    </w:p>
    <w:tbl>
      <w:tblPr>
        <w:tblStyle w:val="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2026"/>
        <w:gridCol w:w="214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一级分类</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二级分类</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03</w:t>
            </w:r>
          </w:p>
        </w:tc>
        <w:tc>
          <w:tcPr>
            <w:tcW w:w="2026" w:type="dxa"/>
            <w:noWrap w:val="0"/>
            <w:vAlign w:val="top"/>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07</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03</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轻工产品</w:t>
            </w:r>
          </w:p>
        </w:tc>
        <w:tc>
          <w:tcPr>
            <w:tcW w:w="202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燃气用具</w:t>
            </w:r>
          </w:p>
        </w:tc>
        <w:tc>
          <w:tcPr>
            <w:tcW w:w="2146"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家用燃气灶</w:t>
            </w:r>
          </w:p>
        </w:tc>
        <w:tc>
          <w:tcPr>
            <w:tcW w:w="1975" w:type="dxa"/>
            <w:noWrap w:val="0"/>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本细则涉及产品种类：家用燃气灶</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3术语和定义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本细则中未列出的术语和定义同相关引用标准。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4企业规模划分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shd w:val="clear" w:color="auto" w:fill="FFFFFF"/>
        </w:rPr>
      </w:pPr>
      <w:r>
        <w:rPr>
          <w:rFonts w:hint="eastAsia" w:ascii="仿宋_GB2312" w:eastAsia="仿宋_GB2312"/>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5检验依据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GB 16410-2020  家用燃气灶具 </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_GB2312" w:eastAsia="仿宋_GB2312"/>
          <w:sz w:val="28"/>
          <w:szCs w:val="28"/>
        </w:rPr>
      </w:pPr>
      <w:r>
        <w:rPr>
          <w:rFonts w:hint="eastAsia" w:ascii="仿宋" w:hAnsi="仿宋" w:eastAsia="仿宋" w:cs="仿宋"/>
          <w:color w:val="000000"/>
          <w:sz w:val="28"/>
          <w:szCs w:val="28"/>
        </w:rPr>
        <w:t>GB 30720</w:t>
      </w:r>
      <w:r>
        <w:rPr>
          <w:rFonts w:hint="eastAsia" w:ascii="仿宋" w:hAnsi="仿宋" w:eastAsia="仿宋" w:cs="仿宋"/>
          <w:sz w:val="28"/>
          <w:szCs w:val="28"/>
        </w:rPr>
        <w:t>—</w:t>
      </w:r>
      <w:r>
        <w:rPr>
          <w:rFonts w:hint="eastAsia" w:ascii="仿宋" w:hAnsi="仿宋" w:eastAsia="仿宋" w:cs="仿宋"/>
          <w:color w:val="000000"/>
          <w:sz w:val="28"/>
          <w:szCs w:val="28"/>
        </w:rPr>
        <w:t>2014 家用燃气灶具能效限定值及能效等级</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现行有效的企业标准、团体标准、地方标准及产品明示质量要求相关的法律法规、部门规章和规范。</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6抽样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6.1抽样型号或规格</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抽取样品应为同一型号规格、同一批次或相近批次、经过企业检验合格的产品。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6.2抽样基数、抽样数量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ascii="仿宋_GB2312" w:hAnsi="仿宋" w:eastAsia="仿宋_GB2312"/>
          <w:sz w:val="28"/>
          <w:szCs w:val="28"/>
        </w:rPr>
      </w:pPr>
      <w:r>
        <w:rPr>
          <w:rFonts w:hint="eastAsia" w:ascii="仿宋_GB2312" w:eastAsia="仿宋_GB2312"/>
          <w:sz w:val="28"/>
          <w:szCs w:val="28"/>
        </w:rPr>
        <w:t>6.2.1</w:t>
      </w:r>
      <w:r>
        <w:rPr>
          <w:rFonts w:hint="eastAsia" w:ascii="仿宋_GB2312" w:hAnsi="仿宋" w:eastAsia="仿宋_GB2312"/>
          <w:sz w:val="28"/>
          <w:szCs w:val="28"/>
        </w:rPr>
        <w:t>流通领域抽样在</w:t>
      </w:r>
      <w:r>
        <w:rPr>
          <w:rFonts w:hint="eastAsia" w:ascii="仿宋_GB2312" w:hAnsi="仿宋" w:eastAsia="仿宋_GB2312"/>
          <w:sz w:val="28"/>
          <w:szCs w:val="28"/>
          <w:lang w:eastAsia="zh-CN"/>
        </w:rPr>
        <w:t>盘锦市</w:t>
      </w:r>
      <w:r>
        <w:rPr>
          <w:rFonts w:hint="eastAsia" w:ascii="仿宋_GB2312" w:hAnsi="仿宋" w:eastAsia="仿宋_GB2312"/>
          <w:sz w:val="28"/>
          <w:szCs w:val="28"/>
        </w:rPr>
        <w:t>行政区域内的</w:t>
      </w:r>
      <w:r>
        <w:rPr>
          <w:rFonts w:hint="eastAsia" w:ascii="仿宋_GB2312" w:hAnsi="宋体" w:eastAsia="仿宋_GB2312"/>
          <w:sz w:val="28"/>
          <w:szCs w:val="28"/>
        </w:rPr>
        <w:t>商场、专卖店、大中型超市、日杂批发市场</w:t>
      </w:r>
      <w:r>
        <w:rPr>
          <w:rFonts w:hint="eastAsia" w:ascii="仿宋_GB2312" w:hAnsi="仿宋" w:eastAsia="仿宋_GB2312"/>
          <w:sz w:val="28"/>
          <w:szCs w:val="28"/>
        </w:rPr>
        <w:t>，检验样品付费购买；备用样品由受检单位先行无偿提供。</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6.2.2抽样基数</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抽样基数满足抽样数量即可。</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6.2.3抽样数量</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宋体" w:eastAsia="仿宋_GB2312" w:cs="仿宋_GB2312"/>
          <w:color w:val="000000"/>
          <w:sz w:val="28"/>
          <w:szCs w:val="28"/>
        </w:rPr>
      </w:pPr>
      <w:r>
        <w:rPr>
          <w:rFonts w:ascii="仿宋_GB2312" w:eastAsia="仿宋_GB2312"/>
          <w:sz w:val="28"/>
          <w:szCs w:val="28"/>
        </w:rPr>
        <w:t>每批次产品抽取样品</w:t>
      </w:r>
      <w:r>
        <w:rPr>
          <w:rFonts w:hint="eastAsia" w:ascii="仿宋_GB2312" w:hAnsi="宋体" w:eastAsia="仿宋_GB2312" w:cs="仿宋_GB2312"/>
          <w:color w:val="000000"/>
          <w:sz w:val="28"/>
          <w:szCs w:val="28"/>
        </w:rPr>
        <w:t>2台，其中1台为检验样品，1台为备用样品。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6.2.4抽样时应注意的问题</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6.2.4.1应由抽样技术人员在现场进行抽取，不得由受检单位自行抽样。抽取的样品应当是有产品质量检验合格证明或者以其他形式表明合格的产品。</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sz w:val="28"/>
          <w:szCs w:val="28"/>
        </w:rPr>
        <w:t>6.2.4.2</w:t>
      </w:r>
      <w:r>
        <w:rPr>
          <w:rFonts w:hint="eastAsia" w:ascii="仿宋_GB2312" w:eastAsia="仿宋_GB2312" w:cs="仿宋_GB2312"/>
          <w:sz w:val="28"/>
          <w:szCs w:val="28"/>
        </w:rPr>
        <w:t>抽样时，抽样人员应当认真核实营业执照等被抽查企业的相关信息，确认企业不存在不得抽样的情形。</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6.3样品处置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检验用样品及备用样品应分别封样，应对样品包装箱进行完整签封（上下或左右），签封方式应有防拆封措施。同时应有相应影像记录。购买的备用样品封存于检验机构，由受检单位无偿提供的备用样品封存于受检单位</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封样单上应有被抽查企业和抽样技术人员的签名，注明抽样日期，并确认封样单牢固。</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6.4抽样单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6.5其他要求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val="0"/>
        <w:kinsoku/>
        <w:wordWrap/>
        <w:overflowPunct/>
        <w:topLinePunct w:val="0"/>
        <w:autoSpaceDE/>
        <w:autoSpaceDN/>
        <w:bidi w:val="0"/>
        <w:spacing w:line="540" w:lineRule="exact"/>
        <w:ind w:firstLine="548" w:firstLineChars="196"/>
        <w:contextualSpacing/>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6</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.1 监督抽查所需的检验样品要在受检单位以购买方式获取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ascii="仿宋_GB2312" w:eastAsia="仿宋_GB2312"/>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.2 当被抽样生产者对检验结论有异议需要复检时，应当向</w:t>
      </w:r>
      <w:r>
        <w:rPr>
          <w:rFonts w:hint="eastAsia" w:ascii="仿宋" w:hAnsi="仿宋" w:eastAsia="仿宋" w:cs="仿宋"/>
          <w:sz w:val="28"/>
          <w:szCs w:val="28"/>
          <w:lang w:eastAsia="zh-CN"/>
        </w:rPr>
        <w:t>受检单位</w:t>
      </w:r>
      <w:r>
        <w:rPr>
          <w:rFonts w:hint="eastAsia" w:ascii="仿宋" w:hAnsi="仿宋" w:eastAsia="仿宋" w:cs="仿宋"/>
          <w:sz w:val="28"/>
          <w:szCs w:val="28"/>
        </w:rPr>
        <w:t>支付备用样品费用。</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7检验要求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hAnsi="仿宋" w:eastAsia="仿宋_GB2312"/>
          <w:snapToGrid w:val="0"/>
          <w:sz w:val="28"/>
          <w:szCs w:val="28"/>
        </w:rPr>
        <w:t>7.1检验项目</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表2  家用燃气灶检验项目</w:t>
      </w:r>
    </w:p>
    <w:tbl>
      <w:tblPr>
        <w:tblStyle w:val="8"/>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589"/>
        <w:gridCol w:w="4319"/>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908" w:type="dxa"/>
            <w:gridSpan w:val="2"/>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检验项目</w:t>
            </w:r>
          </w:p>
        </w:tc>
        <w:tc>
          <w:tcPr>
            <w:tcW w:w="2287"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气密性</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热负荷</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589"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燃烧工况</w:t>
            </w: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离焰</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589" w:type="dxa"/>
            <w:vMerge w:val="continue"/>
            <w:noWrap w:val="0"/>
            <w:vAlign w:val="center"/>
          </w:tcPr>
          <w:p>
            <w:pPr>
              <w:jc w:val="center"/>
              <w:rPr>
                <w:rFonts w:hint="eastAsia" w:ascii="仿宋" w:hAnsi="仿宋" w:eastAsia="仿宋" w:cs="仿宋"/>
                <w:sz w:val="24"/>
                <w:szCs w:val="24"/>
              </w:rPr>
            </w:pP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熄火</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589" w:type="dxa"/>
            <w:vMerge w:val="continue"/>
            <w:noWrap w:val="0"/>
            <w:vAlign w:val="center"/>
          </w:tcPr>
          <w:p>
            <w:pPr>
              <w:jc w:val="center"/>
              <w:rPr>
                <w:rFonts w:hint="eastAsia" w:ascii="仿宋" w:hAnsi="仿宋" w:eastAsia="仿宋" w:cs="仿宋"/>
                <w:sz w:val="24"/>
                <w:szCs w:val="24"/>
              </w:rPr>
            </w:pP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回火</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89" w:type="dxa"/>
            <w:vMerge w:val="continue"/>
            <w:noWrap w:val="0"/>
            <w:vAlign w:val="center"/>
          </w:tcPr>
          <w:p>
            <w:pPr>
              <w:jc w:val="center"/>
              <w:rPr>
                <w:rFonts w:hint="eastAsia" w:ascii="仿宋" w:hAnsi="仿宋" w:eastAsia="仿宋" w:cs="仿宋"/>
                <w:sz w:val="24"/>
                <w:szCs w:val="24"/>
              </w:rPr>
            </w:pP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燃烧噪声</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589" w:type="dxa"/>
            <w:vMerge w:val="continue"/>
            <w:noWrap w:val="0"/>
            <w:vAlign w:val="center"/>
          </w:tcPr>
          <w:p>
            <w:pPr>
              <w:jc w:val="center"/>
              <w:rPr>
                <w:rFonts w:hint="eastAsia" w:ascii="仿宋" w:hAnsi="仿宋" w:eastAsia="仿宋" w:cs="仿宋"/>
                <w:sz w:val="24"/>
                <w:szCs w:val="24"/>
              </w:rPr>
            </w:pP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熄火噪声</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589" w:type="dxa"/>
            <w:vMerge w:val="continue"/>
            <w:noWrap w:val="0"/>
            <w:vAlign w:val="center"/>
          </w:tcPr>
          <w:p>
            <w:pPr>
              <w:jc w:val="center"/>
              <w:rPr>
                <w:rFonts w:hint="eastAsia" w:ascii="仿宋" w:hAnsi="仿宋" w:eastAsia="仿宋" w:cs="仿宋"/>
                <w:sz w:val="24"/>
                <w:szCs w:val="24"/>
              </w:rPr>
            </w:pP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干烟气中CO浓度（室内型）</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温升—操作时手必须接触的部位</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熄火保护装置—闭阀时间</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589"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结构的一般要求</w:t>
            </w: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燃气导管</w:t>
            </w:r>
          </w:p>
        </w:tc>
        <w:tc>
          <w:tcPr>
            <w:tcW w:w="2287" w:type="dxa"/>
            <w:noWrap w:val="0"/>
            <w:vAlign w:val="center"/>
          </w:tcPr>
          <w:p>
            <w:pPr>
              <w:snapToGrid w:val="0"/>
              <w:jc w:val="center"/>
              <w:rPr>
                <w:rFonts w:hint="eastAsia" w:ascii="仿宋" w:hAnsi="仿宋" w:eastAsia="仿宋" w:cs="仿宋"/>
                <w:sz w:val="24"/>
                <w:szCs w:val="24"/>
                <w:highlight w:val="yellow"/>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589" w:type="dxa"/>
            <w:vMerge w:val="continue"/>
            <w:noWrap w:val="0"/>
            <w:vAlign w:val="center"/>
          </w:tcPr>
          <w:p>
            <w:pPr>
              <w:jc w:val="center"/>
              <w:rPr>
                <w:rFonts w:hint="eastAsia" w:ascii="仿宋" w:hAnsi="仿宋" w:eastAsia="仿宋" w:cs="仿宋"/>
                <w:sz w:val="24"/>
                <w:szCs w:val="24"/>
              </w:rPr>
            </w:pPr>
          </w:p>
        </w:tc>
        <w:tc>
          <w:tcPr>
            <w:tcW w:w="4319"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燃烧器的熄火保护装置</w:t>
            </w:r>
          </w:p>
        </w:tc>
        <w:tc>
          <w:tcPr>
            <w:tcW w:w="2287" w:type="dxa"/>
            <w:noWrap w:val="0"/>
            <w:vAlign w:val="center"/>
          </w:tcPr>
          <w:p>
            <w:pPr>
              <w:snapToGrid w:val="0"/>
              <w:jc w:val="center"/>
              <w:rPr>
                <w:rFonts w:hint="eastAsia" w:ascii="仿宋" w:hAnsi="仿宋" w:eastAsia="仿宋" w:cs="仿宋"/>
                <w:sz w:val="24"/>
                <w:szCs w:val="24"/>
                <w:highlight w:val="yellow"/>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热效率</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30720—2014</w:t>
            </w:r>
          </w:p>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耐热冲击</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79" w:type="dxa"/>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5908" w:type="dxa"/>
            <w:gridSpan w:val="2"/>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耐重力冲击</w:t>
            </w:r>
          </w:p>
        </w:tc>
        <w:tc>
          <w:tcPr>
            <w:tcW w:w="2287" w:type="dxa"/>
            <w:noWrap w:val="0"/>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GB 16410—2020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74" w:type="dxa"/>
            <w:gridSpan w:val="4"/>
            <w:noWrap w:val="0"/>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备注：</w:t>
            </w:r>
            <w:r>
              <w:rPr>
                <w:rFonts w:hint="eastAsia" w:ascii="仿宋" w:hAnsi="仿宋" w:eastAsia="仿宋" w:cs="仿宋"/>
                <w:bCs/>
                <w:sz w:val="24"/>
                <w:szCs w:val="24"/>
                <w:lang w:val="en-US" w:eastAsia="zh-CN"/>
              </w:rPr>
              <w:t>根据实际样品，</w:t>
            </w:r>
            <w:r>
              <w:rPr>
                <w:rFonts w:hint="eastAsia" w:ascii="仿宋" w:hAnsi="仿宋" w:eastAsia="仿宋" w:cs="仿宋"/>
                <w:bCs/>
                <w:sz w:val="24"/>
                <w:szCs w:val="24"/>
              </w:rPr>
              <w:t>仅对适用项目进行检测。</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2</w:t>
      </w:r>
      <w:r>
        <w:rPr>
          <w:rFonts w:hint="eastAsia" w:ascii="仿宋_GB2312" w:eastAsia="仿宋_GB2312"/>
          <w:sz w:val="28"/>
          <w:szCs w:val="28"/>
        </w:rPr>
        <w:t>检验应注意的问题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8判定原则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9异议处理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对被判定为不合格企业进行异议处理时，按以下方式进行：</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9.1核查不合格项目相关证据，能够以记录（纸质记录或电子记录或影像记录）或与不合格项目相关联的其它质量数据等检验证据证明。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9.2对需要复检并具备检验条件的，处理企业异议的市场监督管理部门或者指定检验机构应当按原监督抽查细则对留存的样品或抽取的备用样品组织复检，并出具检验报告。复检结论为最终结论。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val="0"/>
          <w:sz w:val="28"/>
          <w:szCs w:val="28"/>
        </w:rPr>
      </w:pPr>
      <w:r>
        <w:rPr>
          <w:rFonts w:hint="eastAsia" w:ascii="仿宋_GB2312" w:eastAsia="仿宋_GB2312"/>
          <w:b/>
          <w:bCs w:val="0"/>
          <w:sz w:val="28"/>
          <w:szCs w:val="28"/>
          <w:lang w:val="en-US" w:eastAsia="zh-CN"/>
        </w:rPr>
        <w:t>10</w:t>
      </w:r>
      <w:r>
        <w:rPr>
          <w:rFonts w:hint="eastAsia" w:ascii="仿宋_GB2312" w:eastAsia="仿宋_GB2312"/>
          <w:b/>
          <w:bCs w:val="0"/>
          <w:sz w:val="28"/>
          <w:szCs w:val="28"/>
        </w:rPr>
        <w:t xml:space="preserve">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pStyle w:val="11"/>
      </w:pPr>
    </w:p>
    <w:sectPr>
      <w:footerReference r:id="rId3" w:type="default"/>
      <w:pgSz w:w="11906" w:h="16838"/>
      <w:pgMar w:top="1701" w:right="1644"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二">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- 2 -</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- 2 -</w:t>
                    </w:r>
                    <w:r>
                      <w:rPr>
                        <w:rFonts w:hint="eastAsia" w:ascii="宋体" w:hAnsi="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B32679"/>
    <w:rsid w:val="00014F35"/>
    <w:rsid w:val="000204C4"/>
    <w:rsid w:val="00053EFC"/>
    <w:rsid w:val="000623B5"/>
    <w:rsid w:val="00070754"/>
    <w:rsid w:val="00073B28"/>
    <w:rsid w:val="0008672C"/>
    <w:rsid w:val="000930C6"/>
    <w:rsid w:val="00097F4F"/>
    <w:rsid w:val="000A718D"/>
    <w:rsid w:val="000A7648"/>
    <w:rsid w:val="000B46E9"/>
    <w:rsid w:val="000B5BF2"/>
    <w:rsid w:val="000C40CF"/>
    <w:rsid w:val="000E4826"/>
    <w:rsid w:val="000F79E9"/>
    <w:rsid w:val="000F7DB4"/>
    <w:rsid w:val="001300B3"/>
    <w:rsid w:val="00130529"/>
    <w:rsid w:val="00141995"/>
    <w:rsid w:val="00190AE8"/>
    <w:rsid w:val="001A2372"/>
    <w:rsid w:val="001B6E21"/>
    <w:rsid w:val="001C3E50"/>
    <w:rsid w:val="001C6932"/>
    <w:rsid w:val="001D3D4A"/>
    <w:rsid w:val="001D4CF7"/>
    <w:rsid w:val="001E71D1"/>
    <w:rsid w:val="001F0EEF"/>
    <w:rsid w:val="001F1C54"/>
    <w:rsid w:val="001F445B"/>
    <w:rsid w:val="0025241A"/>
    <w:rsid w:val="002704EE"/>
    <w:rsid w:val="002776F4"/>
    <w:rsid w:val="0028765B"/>
    <w:rsid w:val="00294A42"/>
    <w:rsid w:val="002B49FB"/>
    <w:rsid w:val="002B783E"/>
    <w:rsid w:val="002E70FD"/>
    <w:rsid w:val="003076DF"/>
    <w:rsid w:val="00341A24"/>
    <w:rsid w:val="00345DF4"/>
    <w:rsid w:val="003626D0"/>
    <w:rsid w:val="00373FB4"/>
    <w:rsid w:val="0037771F"/>
    <w:rsid w:val="003812B8"/>
    <w:rsid w:val="00387151"/>
    <w:rsid w:val="00387BC2"/>
    <w:rsid w:val="003901CA"/>
    <w:rsid w:val="00396E4A"/>
    <w:rsid w:val="00397AD9"/>
    <w:rsid w:val="003A5FDA"/>
    <w:rsid w:val="003A773D"/>
    <w:rsid w:val="003B64F6"/>
    <w:rsid w:val="003C2030"/>
    <w:rsid w:val="003D558C"/>
    <w:rsid w:val="003F6E0B"/>
    <w:rsid w:val="00400181"/>
    <w:rsid w:val="00401EBD"/>
    <w:rsid w:val="00413A29"/>
    <w:rsid w:val="0041721D"/>
    <w:rsid w:val="00422D25"/>
    <w:rsid w:val="00431DF0"/>
    <w:rsid w:val="00435B96"/>
    <w:rsid w:val="00474497"/>
    <w:rsid w:val="0048725B"/>
    <w:rsid w:val="004911A3"/>
    <w:rsid w:val="004C6996"/>
    <w:rsid w:val="004D363B"/>
    <w:rsid w:val="004E0A2B"/>
    <w:rsid w:val="00500F8C"/>
    <w:rsid w:val="005017AC"/>
    <w:rsid w:val="00506CA8"/>
    <w:rsid w:val="00517D56"/>
    <w:rsid w:val="00522D22"/>
    <w:rsid w:val="00527EE9"/>
    <w:rsid w:val="00535688"/>
    <w:rsid w:val="005535EA"/>
    <w:rsid w:val="0055450C"/>
    <w:rsid w:val="00561759"/>
    <w:rsid w:val="00585440"/>
    <w:rsid w:val="00591CFA"/>
    <w:rsid w:val="005B1CBA"/>
    <w:rsid w:val="005D21DE"/>
    <w:rsid w:val="005D5D25"/>
    <w:rsid w:val="005E7252"/>
    <w:rsid w:val="00601AE5"/>
    <w:rsid w:val="00602822"/>
    <w:rsid w:val="006109C5"/>
    <w:rsid w:val="00616651"/>
    <w:rsid w:val="00642116"/>
    <w:rsid w:val="0064672C"/>
    <w:rsid w:val="00655BF3"/>
    <w:rsid w:val="006579D3"/>
    <w:rsid w:val="0066127D"/>
    <w:rsid w:val="0067014B"/>
    <w:rsid w:val="00672090"/>
    <w:rsid w:val="00673170"/>
    <w:rsid w:val="0067546D"/>
    <w:rsid w:val="00676455"/>
    <w:rsid w:val="00694E22"/>
    <w:rsid w:val="00694E7B"/>
    <w:rsid w:val="006A37F9"/>
    <w:rsid w:val="006C2F2A"/>
    <w:rsid w:val="006C40C9"/>
    <w:rsid w:val="006C6256"/>
    <w:rsid w:val="006D44E0"/>
    <w:rsid w:val="006D67D2"/>
    <w:rsid w:val="006E0EB3"/>
    <w:rsid w:val="006E202F"/>
    <w:rsid w:val="006E49E5"/>
    <w:rsid w:val="006F0477"/>
    <w:rsid w:val="006F3A1F"/>
    <w:rsid w:val="006F64A7"/>
    <w:rsid w:val="007024A4"/>
    <w:rsid w:val="00703F28"/>
    <w:rsid w:val="0071325A"/>
    <w:rsid w:val="0072053A"/>
    <w:rsid w:val="00725A28"/>
    <w:rsid w:val="007425B8"/>
    <w:rsid w:val="007509E8"/>
    <w:rsid w:val="00771CBF"/>
    <w:rsid w:val="00780717"/>
    <w:rsid w:val="00784475"/>
    <w:rsid w:val="007920FB"/>
    <w:rsid w:val="00795803"/>
    <w:rsid w:val="007F1EC3"/>
    <w:rsid w:val="0083253B"/>
    <w:rsid w:val="0083269E"/>
    <w:rsid w:val="0086199A"/>
    <w:rsid w:val="00862CA8"/>
    <w:rsid w:val="00864767"/>
    <w:rsid w:val="00865236"/>
    <w:rsid w:val="008735DD"/>
    <w:rsid w:val="008741C9"/>
    <w:rsid w:val="00885EF2"/>
    <w:rsid w:val="00891150"/>
    <w:rsid w:val="008A7442"/>
    <w:rsid w:val="008B29A9"/>
    <w:rsid w:val="008C6985"/>
    <w:rsid w:val="00904983"/>
    <w:rsid w:val="00907571"/>
    <w:rsid w:val="0091728B"/>
    <w:rsid w:val="009312EA"/>
    <w:rsid w:val="00957B40"/>
    <w:rsid w:val="009741E2"/>
    <w:rsid w:val="00985542"/>
    <w:rsid w:val="0098705C"/>
    <w:rsid w:val="009B19BD"/>
    <w:rsid w:val="009B65CD"/>
    <w:rsid w:val="009C010E"/>
    <w:rsid w:val="009C070A"/>
    <w:rsid w:val="009D01CC"/>
    <w:rsid w:val="009D4E50"/>
    <w:rsid w:val="00A21244"/>
    <w:rsid w:val="00A66407"/>
    <w:rsid w:val="00A8269E"/>
    <w:rsid w:val="00AA06F9"/>
    <w:rsid w:val="00AA1224"/>
    <w:rsid w:val="00AE3359"/>
    <w:rsid w:val="00AE7967"/>
    <w:rsid w:val="00B03A40"/>
    <w:rsid w:val="00B043A5"/>
    <w:rsid w:val="00B10826"/>
    <w:rsid w:val="00B20DCF"/>
    <w:rsid w:val="00B32679"/>
    <w:rsid w:val="00B70C44"/>
    <w:rsid w:val="00B71B29"/>
    <w:rsid w:val="00B738C7"/>
    <w:rsid w:val="00B813C6"/>
    <w:rsid w:val="00B864DB"/>
    <w:rsid w:val="00B938E2"/>
    <w:rsid w:val="00BB3727"/>
    <w:rsid w:val="00BB6052"/>
    <w:rsid w:val="00BC5EBE"/>
    <w:rsid w:val="00BD56E4"/>
    <w:rsid w:val="00BE410C"/>
    <w:rsid w:val="00C00962"/>
    <w:rsid w:val="00C023B0"/>
    <w:rsid w:val="00C731A1"/>
    <w:rsid w:val="00C80094"/>
    <w:rsid w:val="00CC70FE"/>
    <w:rsid w:val="00CE33AA"/>
    <w:rsid w:val="00CE3EEC"/>
    <w:rsid w:val="00CE626B"/>
    <w:rsid w:val="00CE7A86"/>
    <w:rsid w:val="00D21591"/>
    <w:rsid w:val="00D511F5"/>
    <w:rsid w:val="00D53080"/>
    <w:rsid w:val="00D5315E"/>
    <w:rsid w:val="00D71625"/>
    <w:rsid w:val="00D77A15"/>
    <w:rsid w:val="00D82F23"/>
    <w:rsid w:val="00DB17A3"/>
    <w:rsid w:val="00DB51A6"/>
    <w:rsid w:val="00DD76E0"/>
    <w:rsid w:val="00E0495E"/>
    <w:rsid w:val="00E0683A"/>
    <w:rsid w:val="00E11DB4"/>
    <w:rsid w:val="00E24F62"/>
    <w:rsid w:val="00E25CB8"/>
    <w:rsid w:val="00E4383B"/>
    <w:rsid w:val="00E47A1C"/>
    <w:rsid w:val="00E57036"/>
    <w:rsid w:val="00E67A5D"/>
    <w:rsid w:val="00E75C4E"/>
    <w:rsid w:val="00E84E68"/>
    <w:rsid w:val="00E918C6"/>
    <w:rsid w:val="00E97924"/>
    <w:rsid w:val="00EC0A1C"/>
    <w:rsid w:val="00EC46F1"/>
    <w:rsid w:val="00EC5562"/>
    <w:rsid w:val="00ED32BF"/>
    <w:rsid w:val="00ED6E86"/>
    <w:rsid w:val="00EE637B"/>
    <w:rsid w:val="00F04F3B"/>
    <w:rsid w:val="00F15A10"/>
    <w:rsid w:val="00F15D77"/>
    <w:rsid w:val="00F33E4B"/>
    <w:rsid w:val="00F35E82"/>
    <w:rsid w:val="00F363AD"/>
    <w:rsid w:val="00F54A74"/>
    <w:rsid w:val="00F55E33"/>
    <w:rsid w:val="00F6554B"/>
    <w:rsid w:val="00F67C53"/>
    <w:rsid w:val="00F7538D"/>
    <w:rsid w:val="00F7631B"/>
    <w:rsid w:val="00FA62AA"/>
    <w:rsid w:val="00FB0D1C"/>
    <w:rsid w:val="00FD30CE"/>
    <w:rsid w:val="00FE3786"/>
    <w:rsid w:val="047B6E55"/>
    <w:rsid w:val="173D0FE0"/>
    <w:rsid w:val="1BC61A80"/>
    <w:rsid w:val="1E3410A9"/>
    <w:rsid w:val="2AED5650"/>
    <w:rsid w:val="354925FA"/>
    <w:rsid w:val="3960230B"/>
    <w:rsid w:val="3BD10CA3"/>
    <w:rsid w:val="3F4C4846"/>
    <w:rsid w:val="460C775D"/>
    <w:rsid w:val="4E7E71EB"/>
    <w:rsid w:val="5D5C01D5"/>
    <w:rsid w:val="62713D2F"/>
    <w:rsid w:val="627A2DFE"/>
    <w:rsid w:val="62F9048D"/>
    <w:rsid w:val="68121426"/>
    <w:rsid w:val="681E22A3"/>
    <w:rsid w:val="732B242B"/>
    <w:rsid w:val="74C3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wang正文"/>
    <w:basedOn w:val="1"/>
    <w:qFormat/>
    <w:uiPriority w:val="0"/>
    <w:pPr>
      <w:tabs>
        <w:tab w:val="left" w:pos="6840"/>
      </w:tabs>
      <w:topLinePunct/>
      <w:ind w:firstLine="420"/>
    </w:pPr>
    <w:rPr>
      <w:kern w:val="0"/>
    </w:rPr>
  </w:style>
  <w:style w:type="character" w:customStyle="1" w:styleId="12">
    <w:name w:val="批注框文本 Char"/>
    <w:basedOn w:val="10"/>
    <w:link w:val="4"/>
    <w:semiHidden/>
    <w:qFormat/>
    <w:uiPriority w:val="99"/>
    <w:rPr>
      <w:rFonts w:ascii="Calibri" w:hAnsi="Calibri" w:eastAsia="宋体" w:cs="Times New Roman"/>
      <w:sz w:val="18"/>
      <w:szCs w:val="18"/>
    </w:rPr>
  </w:style>
  <w:style w:type="paragraph" w:customStyle="1" w:styleId="13">
    <w:name w:val="肥料正文"/>
    <w:basedOn w:val="1"/>
    <w:qFormat/>
    <w:uiPriority w:val="0"/>
    <w:pPr>
      <w:adjustRightInd w:val="0"/>
      <w:snapToGrid w:val="0"/>
      <w:spacing w:line="316" w:lineRule="auto"/>
      <w:ind w:firstLine="200" w:firstLineChars="200"/>
    </w:pPr>
    <w:rPr>
      <w:rFonts w:ascii="Times New Roman" w:hAnsi="Times New Roman" w:eastAsia="汉鼎简书宋二"/>
      <w:spacing w:val="2"/>
      <w:kern w:val="0"/>
      <w:sz w:val="22"/>
      <w:szCs w:val="24"/>
    </w:rPr>
  </w:style>
  <w:style w:type="character" w:customStyle="1" w:styleId="14">
    <w:name w:val="页眉 Char"/>
    <w:basedOn w:val="10"/>
    <w:link w:val="6"/>
    <w:qFormat/>
    <w:uiPriority w:val="99"/>
    <w:rPr>
      <w:rFonts w:ascii="Calibri" w:hAnsi="Calibri" w:eastAsia="宋体" w:cs="Times New Roman"/>
      <w:sz w:val="18"/>
      <w:szCs w:val="18"/>
    </w:rPr>
  </w:style>
  <w:style w:type="character" w:customStyle="1" w:styleId="15">
    <w:name w:val="页脚 Char"/>
    <w:basedOn w:val="10"/>
    <w:link w:val="5"/>
    <w:qFormat/>
    <w:uiPriority w:val="99"/>
    <w:rPr>
      <w:rFonts w:ascii="Calibri" w:hAnsi="Calibri" w:eastAsia="宋体" w:cs="Times New Roman"/>
      <w:sz w:val="18"/>
      <w:szCs w:val="18"/>
    </w:rPr>
  </w:style>
  <w:style w:type="character" w:customStyle="1" w:styleId="16">
    <w:name w:val="日期 Char"/>
    <w:basedOn w:val="10"/>
    <w:link w:val="3"/>
    <w:semiHidden/>
    <w:qFormat/>
    <w:uiPriority w:val="99"/>
    <w:rPr>
      <w:rFonts w:ascii="Calibri" w:hAnsi="Calibri" w:eastAsia="宋体" w:cs="Times New Roman"/>
    </w:rPr>
  </w:style>
  <w:style w:type="paragraph" w:customStyle="1" w:styleId="17">
    <w:name w:val="列出段落1"/>
    <w:basedOn w:val="1"/>
    <w:next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1891</Words>
  <Characters>2115</Characters>
  <Lines>17</Lines>
  <Paragraphs>4</Paragraphs>
  <TotalTime>0</TotalTime>
  <ScaleCrop>false</ScaleCrop>
  <LinksUpToDate>false</LinksUpToDate>
  <CharactersWithSpaces>2149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2019-12-17T05:00:00Z</dcterms:created>
  <dc:creator>jiangdw</dc:creator>
  <cp:lastModifiedBy>pc</cp:lastModifiedBy>
  <dcterms:modified xsi:type="dcterms:W3CDTF">2023-02-15T11:44:10Z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D58B24A8C0D4423C851055F729EB145A</vt:lpwstr>
  </property>
</Properties>
</file>