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75EAF">
      <w:pPr>
        <w:spacing w:beforeAutospacing="0" w:afterAutospacing="0" w:line="540" w:lineRule="exact"/>
        <w:jc w:val="center"/>
        <w:rPr>
          <w:rFonts w:hint="eastAsia" w:ascii="宋体" w:hAnsi="宋体"/>
          <w:b/>
          <w:sz w:val="44"/>
          <w:szCs w:val="44"/>
        </w:rPr>
      </w:pPr>
    </w:p>
    <w:p w14:paraId="1A050F78">
      <w:pPr>
        <w:spacing w:beforeAutospacing="0" w:afterAutospacing="0" w:line="480" w:lineRule="auto"/>
        <w:jc w:val="center"/>
        <w:rPr>
          <w:rFonts w:hint="eastAsia" w:ascii="黑体" w:hAnsi="黑体" w:eastAsia="黑体"/>
          <w:b/>
          <w:color w:val="000000"/>
          <w:sz w:val="52"/>
          <w:szCs w:val="52"/>
        </w:rPr>
      </w:pPr>
      <w:bookmarkStart w:id="0" w:name="_Hlk2514253"/>
    </w:p>
    <w:p w14:paraId="70322793">
      <w:pPr>
        <w:spacing w:beforeAutospacing="0" w:afterAutospacing="0" w:line="480" w:lineRule="auto"/>
        <w:jc w:val="center"/>
        <w:rPr>
          <w:rFonts w:hint="eastAsia" w:ascii="黑体" w:hAnsi="黑体" w:eastAsia="黑体"/>
          <w:b/>
          <w:color w:val="000000"/>
          <w:sz w:val="52"/>
          <w:szCs w:val="52"/>
        </w:rPr>
      </w:pPr>
    </w:p>
    <w:p w14:paraId="2FCD79EF">
      <w:pPr>
        <w:spacing w:beforeAutospacing="0" w:afterAutospacing="0" w:line="480" w:lineRule="auto"/>
        <w:jc w:val="center"/>
        <w:rPr>
          <w:rFonts w:hint="eastAsia" w:ascii="黑体" w:hAnsi="黑体" w:eastAsia="黑体"/>
          <w:b/>
          <w:color w:val="000000"/>
          <w:sz w:val="52"/>
          <w:szCs w:val="52"/>
        </w:rPr>
      </w:pPr>
    </w:p>
    <w:p w14:paraId="31683B19">
      <w:pPr>
        <w:spacing w:beforeAutospacing="0" w:afterAutospacing="0" w:line="480" w:lineRule="auto"/>
        <w:jc w:val="center"/>
        <w:rPr>
          <w:rFonts w:hint="eastAsia" w:ascii="宋体" w:hAnsi="宋体"/>
          <w:b/>
          <w:color w:val="000000"/>
          <w:sz w:val="52"/>
          <w:szCs w:val="52"/>
        </w:rPr>
      </w:pPr>
      <w:r>
        <w:rPr>
          <w:rFonts w:hint="eastAsia" w:ascii="宋体" w:hAnsi="宋体"/>
          <w:b/>
          <w:color w:val="000000"/>
          <w:sz w:val="52"/>
          <w:szCs w:val="52"/>
        </w:rPr>
        <w:t>盘锦市大洼区</w:t>
      </w:r>
      <w:r>
        <w:rPr>
          <w:rFonts w:hint="eastAsia" w:ascii="方正小标宋_GBK" w:hAnsi="方正小标宋_GBK" w:eastAsia="方正小标宋_GBK"/>
          <w:bCs/>
          <w:sz w:val="52"/>
          <w:szCs w:val="52"/>
        </w:rPr>
        <w:t>水利局</w:t>
      </w:r>
    </w:p>
    <w:p w14:paraId="4C8FC7E4">
      <w:pPr>
        <w:spacing w:beforeAutospacing="0" w:afterAutospacing="0" w:line="480" w:lineRule="auto"/>
        <w:jc w:val="center"/>
        <w:rPr>
          <w:rFonts w:hint="eastAsia" w:ascii="宋体" w:hAnsi="宋体"/>
          <w:b/>
          <w:color w:val="000000"/>
          <w:sz w:val="52"/>
          <w:szCs w:val="52"/>
        </w:rPr>
      </w:pPr>
      <w:r>
        <w:rPr>
          <w:rFonts w:hint="eastAsia" w:ascii="宋体" w:hAnsi="宋体"/>
          <w:b/>
          <w:color w:val="000000"/>
          <w:sz w:val="52"/>
          <w:szCs w:val="52"/>
        </w:rPr>
        <w:t>2023年度部门预算</w:t>
      </w:r>
    </w:p>
    <w:p w14:paraId="1199F3C9">
      <w:pPr>
        <w:spacing w:beforeAutospacing="0" w:afterAutospacing="0" w:line="540" w:lineRule="exact"/>
        <w:jc w:val="center"/>
        <w:rPr>
          <w:rFonts w:hint="eastAsia" w:ascii="宋体" w:hAnsi="宋体"/>
          <w:b/>
          <w:color w:val="000000"/>
          <w:sz w:val="44"/>
          <w:szCs w:val="44"/>
        </w:rPr>
      </w:pPr>
    </w:p>
    <w:p w14:paraId="2E22FBD4">
      <w:pPr>
        <w:spacing w:beforeAutospacing="0" w:afterAutospacing="0" w:line="480" w:lineRule="auto"/>
        <w:jc w:val="center"/>
        <w:rPr>
          <w:rFonts w:hint="eastAsia" w:ascii="黑体" w:hAnsi="黑体" w:eastAsia="黑体"/>
          <w:b/>
          <w:color w:val="000000"/>
          <w:sz w:val="52"/>
          <w:szCs w:val="52"/>
        </w:rPr>
      </w:pPr>
    </w:p>
    <w:bookmarkEnd w:id="0"/>
    <w:p w14:paraId="244AFBF1">
      <w:pPr>
        <w:spacing w:beforeAutospacing="0" w:afterAutospacing="0" w:line="540" w:lineRule="exact"/>
        <w:jc w:val="center"/>
        <w:rPr>
          <w:rFonts w:hint="eastAsia" w:ascii="宋体" w:hAnsi="宋体"/>
          <w:b/>
          <w:bCs/>
          <w:color w:val="000000"/>
          <w:sz w:val="44"/>
          <w:szCs w:val="44"/>
        </w:rPr>
      </w:pPr>
    </w:p>
    <w:p w14:paraId="78966A87">
      <w:pPr>
        <w:spacing w:beforeAutospacing="0" w:afterAutospacing="0" w:line="540" w:lineRule="exact"/>
        <w:jc w:val="center"/>
        <w:rPr>
          <w:rFonts w:hint="eastAsia" w:ascii="宋体" w:hAnsi="宋体"/>
          <w:b/>
          <w:bCs/>
          <w:color w:val="000000"/>
          <w:sz w:val="44"/>
          <w:szCs w:val="44"/>
        </w:rPr>
      </w:pPr>
    </w:p>
    <w:p w14:paraId="6D25B835">
      <w:pPr>
        <w:spacing w:beforeAutospacing="0" w:afterAutospacing="0" w:line="540" w:lineRule="exact"/>
        <w:jc w:val="center"/>
        <w:rPr>
          <w:rFonts w:hint="eastAsia" w:ascii="宋体" w:hAnsi="宋体"/>
          <w:b/>
          <w:bCs/>
          <w:color w:val="000000"/>
          <w:sz w:val="44"/>
          <w:szCs w:val="44"/>
        </w:rPr>
      </w:pPr>
    </w:p>
    <w:p w14:paraId="5BB6BB7E">
      <w:pPr>
        <w:spacing w:beforeAutospacing="0" w:afterAutospacing="0" w:line="540" w:lineRule="exact"/>
        <w:jc w:val="center"/>
        <w:rPr>
          <w:rFonts w:hint="eastAsia" w:ascii="宋体" w:hAnsi="宋体"/>
          <w:b/>
          <w:bCs/>
          <w:color w:val="000000"/>
          <w:sz w:val="44"/>
          <w:szCs w:val="44"/>
        </w:rPr>
      </w:pPr>
    </w:p>
    <w:p w14:paraId="1AF31222">
      <w:pPr>
        <w:spacing w:beforeAutospacing="0" w:afterAutospacing="0" w:line="540" w:lineRule="exact"/>
        <w:jc w:val="center"/>
        <w:rPr>
          <w:rFonts w:hint="eastAsia" w:ascii="宋体" w:hAnsi="宋体"/>
          <w:b/>
          <w:bCs/>
          <w:color w:val="000000"/>
          <w:sz w:val="44"/>
          <w:szCs w:val="44"/>
        </w:rPr>
      </w:pPr>
    </w:p>
    <w:p w14:paraId="11B3E6AE">
      <w:pPr>
        <w:spacing w:beforeAutospacing="0" w:afterAutospacing="0" w:line="540" w:lineRule="exact"/>
        <w:jc w:val="center"/>
        <w:rPr>
          <w:rFonts w:hint="eastAsia" w:ascii="宋体" w:hAnsi="宋体"/>
          <w:b/>
          <w:bCs/>
          <w:color w:val="000000"/>
          <w:sz w:val="44"/>
          <w:szCs w:val="44"/>
        </w:rPr>
      </w:pPr>
    </w:p>
    <w:p w14:paraId="5FC58087">
      <w:pPr>
        <w:spacing w:beforeAutospacing="0" w:afterAutospacing="0" w:line="540" w:lineRule="exact"/>
        <w:jc w:val="center"/>
        <w:rPr>
          <w:rFonts w:hint="eastAsia" w:ascii="宋体" w:hAnsi="宋体"/>
          <w:b/>
          <w:bCs/>
          <w:color w:val="000000"/>
          <w:sz w:val="44"/>
          <w:szCs w:val="44"/>
        </w:rPr>
      </w:pPr>
    </w:p>
    <w:p w14:paraId="607A264B">
      <w:pPr>
        <w:spacing w:beforeAutospacing="0" w:afterAutospacing="0" w:line="540" w:lineRule="exact"/>
        <w:jc w:val="center"/>
        <w:rPr>
          <w:rFonts w:hint="eastAsia" w:ascii="宋体" w:hAnsi="宋体"/>
          <w:b/>
          <w:bCs/>
          <w:color w:val="000000"/>
          <w:sz w:val="44"/>
          <w:szCs w:val="44"/>
        </w:rPr>
      </w:pPr>
    </w:p>
    <w:p w14:paraId="4E37FFFD">
      <w:pPr>
        <w:spacing w:beforeAutospacing="0" w:afterAutospacing="0" w:line="540" w:lineRule="exact"/>
        <w:jc w:val="center"/>
        <w:rPr>
          <w:rFonts w:hint="eastAsia" w:ascii="宋体" w:hAnsi="宋体"/>
          <w:b/>
          <w:bCs/>
          <w:color w:val="000000"/>
          <w:sz w:val="44"/>
          <w:szCs w:val="44"/>
        </w:rPr>
      </w:pPr>
    </w:p>
    <w:p w14:paraId="2AD82325">
      <w:pPr>
        <w:spacing w:beforeAutospacing="0" w:afterAutospacing="0" w:line="540" w:lineRule="exact"/>
        <w:jc w:val="center"/>
        <w:rPr>
          <w:rFonts w:hint="eastAsia" w:ascii="宋体" w:hAnsi="宋体"/>
          <w:b/>
          <w:bCs/>
          <w:color w:val="000000"/>
          <w:sz w:val="44"/>
          <w:szCs w:val="44"/>
        </w:rPr>
      </w:pPr>
    </w:p>
    <w:p w14:paraId="0D6F3E2F">
      <w:pPr>
        <w:spacing w:beforeAutospacing="0" w:afterAutospacing="0" w:line="540" w:lineRule="exact"/>
        <w:jc w:val="center"/>
        <w:rPr>
          <w:rFonts w:hint="eastAsia" w:ascii="宋体" w:hAnsi="宋体"/>
          <w:b/>
          <w:bCs/>
          <w:color w:val="000000"/>
          <w:sz w:val="44"/>
          <w:szCs w:val="44"/>
        </w:rPr>
      </w:pPr>
    </w:p>
    <w:p w14:paraId="6C031B26">
      <w:pPr>
        <w:spacing w:beforeAutospacing="0" w:afterAutospacing="0" w:line="540" w:lineRule="exact"/>
        <w:jc w:val="center"/>
        <w:rPr>
          <w:rFonts w:hint="eastAsia" w:ascii="宋体" w:hAnsi="宋体"/>
          <w:b/>
          <w:bCs/>
          <w:color w:val="000000"/>
          <w:sz w:val="44"/>
          <w:szCs w:val="44"/>
        </w:rPr>
      </w:pPr>
    </w:p>
    <w:p w14:paraId="1D0C15EA">
      <w:pPr>
        <w:spacing w:beforeAutospacing="0" w:afterAutospacing="0" w:line="540" w:lineRule="exact"/>
        <w:rPr>
          <w:rFonts w:hint="eastAsia" w:ascii="宋体" w:hAnsi="宋体"/>
          <w:b/>
          <w:bCs/>
          <w:color w:val="000000"/>
          <w:sz w:val="44"/>
          <w:szCs w:val="44"/>
        </w:rPr>
      </w:pPr>
    </w:p>
    <w:p w14:paraId="35BF4329">
      <w:pPr>
        <w:spacing w:beforeAutospacing="0" w:afterAutospacing="0" w:line="540" w:lineRule="exact"/>
        <w:jc w:val="center"/>
        <w:rPr>
          <w:rFonts w:hint="eastAsia" w:ascii="宋体" w:hAnsi="宋体"/>
          <w:b/>
          <w:bCs/>
          <w:color w:val="000000"/>
          <w:sz w:val="44"/>
          <w:szCs w:val="44"/>
        </w:rPr>
        <w:sectPr>
          <w:headerReference r:id="rId3" w:type="default"/>
          <w:pgSz w:w="11906" w:h="16838"/>
          <w:pgMar w:top="1440" w:right="1310" w:bottom="1440" w:left="1310" w:header="851" w:footer="992" w:gutter="567"/>
          <w:cols w:space="720" w:num="1"/>
          <w:docGrid w:type="lines" w:linePitch="286" w:charSpace="0"/>
        </w:sectPr>
      </w:pPr>
    </w:p>
    <w:p w14:paraId="1C80262C">
      <w:pPr>
        <w:spacing w:beforeAutospacing="0" w:afterAutospacing="0" w:line="540" w:lineRule="exact"/>
        <w:jc w:val="center"/>
        <w:rPr>
          <w:rFonts w:hint="eastAsia" w:ascii="宋体" w:hAnsi="宋体"/>
          <w:b/>
          <w:bCs/>
          <w:color w:val="000000"/>
          <w:sz w:val="44"/>
          <w:szCs w:val="44"/>
        </w:rPr>
      </w:pPr>
      <w:r>
        <w:rPr>
          <w:rFonts w:hint="eastAsia" w:ascii="宋体" w:hAnsi="宋体"/>
          <w:b/>
          <w:bCs/>
          <w:color w:val="000000"/>
          <w:sz w:val="44"/>
          <w:szCs w:val="44"/>
        </w:rPr>
        <w:t>目   录</w:t>
      </w:r>
    </w:p>
    <w:p w14:paraId="3DE86543">
      <w:pPr>
        <w:spacing w:beforeAutospacing="0" w:afterAutospacing="0" w:line="540" w:lineRule="exact"/>
        <w:ind w:firstLine="643" w:firstLineChars="200"/>
        <w:rPr>
          <w:rFonts w:hint="eastAsia" w:ascii="黑体" w:hAnsi="黑体" w:eastAsia="黑体"/>
          <w:b/>
          <w:bCs/>
          <w:color w:val="000000"/>
          <w:sz w:val="32"/>
          <w:szCs w:val="32"/>
        </w:rPr>
      </w:pPr>
      <w:r>
        <w:rPr>
          <w:rFonts w:hint="eastAsia" w:ascii="黑体" w:hAnsi="黑体" w:eastAsia="黑体"/>
          <w:b/>
          <w:bCs/>
          <w:color w:val="000000"/>
          <w:sz w:val="32"/>
          <w:szCs w:val="32"/>
        </w:rPr>
        <w:t>第一部分  盘锦市大洼区水利局部门概况</w:t>
      </w:r>
    </w:p>
    <w:p w14:paraId="747EDF4E">
      <w:pPr>
        <w:spacing w:beforeAutospacing="0" w:afterAutospacing="0"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一、主要职责</w:t>
      </w:r>
    </w:p>
    <w:p w14:paraId="0ECD4B1D">
      <w:pPr>
        <w:spacing w:beforeAutospacing="0" w:afterAutospacing="0"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二、机构设置</w:t>
      </w:r>
    </w:p>
    <w:p w14:paraId="4266B39C">
      <w:pPr>
        <w:spacing w:beforeAutospacing="0" w:afterAutospacing="0"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三、部门预算单位构成</w:t>
      </w:r>
    </w:p>
    <w:p w14:paraId="2AB938C0">
      <w:pPr>
        <w:spacing w:beforeAutospacing="0" w:afterAutospacing="0" w:line="540" w:lineRule="exact"/>
        <w:ind w:firstLine="643" w:firstLineChars="200"/>
        <w:jc w:val="left"/>
        <w:rPr>
          <w:rFonts w:hint="eastAsia" w:ascii="黑体" w:hAnsi="黑体" w:eastAsia="黑体"/>
          <w:b/>
          <w:bCs/>
          <w:color w:val="000000"/>
          <w:sz w:val="32"/>
          <w:szCs w:val="32"/>
        </w:rPr>
      </w:pPr>
      <w:r>
        <w:rPr>
          <w:rFonts w:hint="eastAsia" w:ascii="黑体" w:hAnsi="黑体" w:eastAsia="黑体"/>
          <w:b/>
          <w:bCs/>
          <w:color w:val="000000"/>
          <w:sz w:val="32"/>
          <w:szCs w:val="32"/>
        </w:rPr>
        <w:t xml:space="preserve">第二部分   盘锦市大洼区水利局2023年度部门预算公开表 </w:t>
      </w:r>
    </w:p>
    <w:p w14:paraId="168160F0">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一、 2023年度部门收支总体情况表</w:t>
      </w:r>
    </w:p>
    <w:p w14:paraId="76550471">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二、 2023年度收入预算总表</w:t>
      </w:r>
    </w:p>
    <w:p w14:paraId="0D4A9205">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三、 2023年度部门支出总体情况表</w:t>
      </w:r>
    </w:p>
    <w:p w14:paraId="5C16A699">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四、 2023年度财政拨款收支总体情况表</w:t>
      </w:r>
    </w:p>
    <w:p w14:paraId="10545B4F">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五、 2023年度一般公共预算支出情况表</w:t>
      </w:r>
    </w:p>
    <w:p w14:paraId="2CCC9F9F">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六、 2023年度一般公共预算基本支出情况表</w:t>
      </w:r>
    </w:p>
    <w:p w14:paraId="59E92CC4">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七、 2023年度一般公共预算“三公”经费支出表</w:t>
      </w:r>
    </w:p>
    <w:p w14:paraId="24E721A1">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八、 2023年度政府性基金预算支出情况表</w:t>
      </w:r>
    </w:p>
    <w:p w14:paraId="26533F12">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九、 2023年度部门综合预算项目支出表</w:t>
      </w:r>
    </w:p>
    <w:p w14:paraId="5CE98827">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十、 2023年度部门（单位）整体绩效目标表</w:t>
      </w:r>
    </w:p>
    <w:p w14:paraId="3C5A067D">
      <w:pPr>
        <w:spacing w:beforeAutospacing="0" w:afterAutospacing="0"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十一、2023年度本级部门预算项目（政策）绩效目标表</w:t>
      </w:r>
    </w:p>
    <w:p w14:paraId="2F50D64E">
      <w:pPr>
        <w:spacing w:beforeAutospacing="0" w:afterAutospacing="0" w:line="540" w:lineRule="exact"/>
        <w:ind w:firstLine="643" w:firstLineChars="200"/>
        <w:jc w:val="left"/>
        <w:rPr>
          <w:rFonts w:hint="eastAsia" w:ascii="黑体" w:hAnsi="黑体" w:eastAsia="黑体"/>
          <w:b/>
          <w:bCs/>
          <w:color w:val="000000"/>
          <w:sz w:val="32"/>
          <w:szCs w:val="32"/>
        </w:rPr>
      </w:pPr>
      <w:r>
        <w:rPr>
          <w:rFonts w:hint="eastAsia" w:ascii="黑体" w:hAnsi="黑体" w:eastAsia="黑体"/>
          <w:b/>
          <w:bCs/>
          <w:color w:val="000000"/>
          <w:sz w:val="32"/>
          <w:szCs w:val="32"/>
        </w:rPr>
        <w:t>第三部分  盘锦市大洼区水利局2023年度部门预算情况说明</w:t>
      </w:r>
    </w:p>
    <w:p w14:paraId="5C918F46">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一、收支预算总体情况说明</w:t>
      </w:r>
    </w:p>
    <w:p w14:paraId="219E59FC">
      <w:pPr>
        <w:spacing w:beforeAutospacing="0" w:afterAutospacing="0"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二、“三公”经费预算安排使用情况说明</w:t>
      </w:r>
    </w:p>
    <w:p w14:paraId="7C38E689">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三、机关运行经费预算安排使用情况说明</w:t>
      </w:r>
    </w:p>
    <w:p w14:paraId="2271C6C4">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四、政府采购支出预算安排情况说明</w:t>
      </w:r>
    </w:p>
    <w:p w14:paraId="554F3D16">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五、国有资产占用情况说明</w:t>
      </w:r>
    </w:p>
    <w:p w14:paraId="6C07BD91">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六、部门预算绩效目标情况说明</w:t>
      </w:r>
    </w:p>
    <w:p w14:paraId="3C650162">
      <w:pPr>
        <w:spacing w:beforeAutospacing="0" w:afterAutospacing="0" w:line="540" w:lineRule="exact"/>
        <w:ind w:firstLine="643" w:firstLineChars="200"/>
        <w:rPr>
          <w:rFonts w:hint="eastAsia" w:ascii="黑体" w:hAnsi="黑体" w:eastAsia="黑体"/>
          <w:b/>
          <w:bCs/>
          <w:color w:val="000000"/>
          <w:sz w:val="32"/>
          <w:szCs w:val="32"/>
        </w:rPr>
      </w:pPr>
      <w:r>
        <w:rPr>
          <w:rFonts w:hint="eastAsia" w:ascii="黑体" w:hAnsi="黑体" w:eastAsia="黑体"/>
          <w:b/>
          <w:bCs/>
          <w:color w:val="000000"/>
          <w:sz w:val="32"/>
          <w:szCs w:val="32"/>
        </w:rPr>
        <w:t xml:space="preserve">第四部分  名词解释 </w:t>
      </w:r>
    </w:p>
    <w:p w14:paraId="619DA8D3">
      <w:pPr>
        <w:spacing w:beforeAutospacing="0" w:afterAutospacing="0" w:line="360" w:lineRule="auto"/>
        <w:rPr>
          <w:rFonts w:hint="eastAsia" w:ascii="仿宋" w:hAnsi="仿宋" w:eastAsia="仿宋"/>
          <w:b/>
          <w:color w:val="000000"/>
          <w:sz w:val="30"/>
          <w:szCs w:val="30"/>
        </w:rPr>
      </w:pPr>
    </w:p>
    <w:p w14:paraId="4F186314">
      <w:pPr>
        <w:numPr>
          <w:ilvl w:val="0"/>
          <w:numId w:val="1"/>
        </w:numPr>
        <w:spacing w:beforeAutospacing="0" w:afterAutospacing="0" w:line="360" w:lineRule="auto"/>
        <w:jc w:val="center"/>
        <w:rPr>
          <w:rFonts w:hint="eastAsia" w:ascii="宋体" w:hAnsi="宋体"/>
          <w:b/>
          <w:color w:val="000000"/>
          <w:sz w:val="44"/>
          <w:szCs w:val="44"/>
        </w:rPr>
      </w:pPr>
      <w:r>
        <w:rPr>
          <w:rFonts w:hint="eastAsia" w:ascii="宋体" w:hAnsi="宋体"/>
          <w:b/>
          <w:color w:val="000000"/>
          <w:sz w:val="44"/>
          <w:szCs w:val="44"/>
        </w:rPr>
        <w:t xml:space="preserve">分  </w:t>
      </w:r>
    </w:p>
    <w:p w14:paraId="1B0EDB9B">
      <w:pPr>
        <w:spacing w:beforeAutospacing="0" w:afterAutospacing="0" w:line="360" w:lineRule="auto"/>
        <w:ind w:firstLine="1104" w:firstLineChars="250"/>
        <w:rPr>
          <w:rFonts w:hint="eastAsia" w:ascii="宋体" w:hAnsi="宋体"/>
          <w:b/>
          <w:color w:val="000000"/>
          <w:sz w:val="44"/>
          <w:szCs w:val="44"/>
        </w:rPr>
      </w:pPr>
      <w:r>
        <w:rPr>
          <w:rFonts w:hint="eastAsia" w:ascii="宋体" w:hAnsi="宋体"/>
          <w:b/>
          <w:color w:val="000000"/>
          <w:sz w:val="44"/>
          <w:szCs w:val="44"/>
        </w:rPr>
        <w:t>盘锦市大洼区</w:t>
      </w:r>
      <w:r>
        <w:rPr>
          <w:rFonts w:hint="eastAsia" w:ascii="黑体" w:hAnsi="黑体" w:eastAsia="黑体"/>
          <w:bCs/>
          <w:sz w:val="44"/>
          <w:szCs w:val="44"/>
        </w:rPr>
        <w:t>水利局</w:t>
      </w:r>
      <w:r>
        <w:rPr>
          <w:rFonts w:hint="eastAsia" w:ascii="宋体" w:hAnsi="宋体"/>
          <w:b/>
          <w:color w:val="000000"/>
          <w:sz w:val="44"/>
          <w:szCs w:val="44"/>
        </w:rPr>
        <w:t>部门概况</w:t>
      </w:r>
      <w:r>
        <w:rPr>
          <w:rFonts w:hint="eastAsia" w:ascii="仿宋" w:hAnsi="仿宋" w:eastAsia="仿宋"/>
          <w:color w:val="000000"/>
          <w:sz w:val="32"/>
          <w:szCs w:val="32"/>
        </w:rPr>
        <w:t xml:space="preserve">                                                                                                                                                                                                                                                                                                                                                                                        </w:t>
      </w:r>
    </w:p>
    <w:p w14:paraId="0C168EFF">
      <w:pPr>
        <w:numPr>
          <w:ilvl w:val="0"/>
          <w:numId w:val="2"/>
        </w:numPr>
        <w:spacing w:beforeAutospacing="0" w:afterAutospacing="0" w:line="360" w:lineRule="auto"/>
        <w:rPr>
          <w:rFonts w:hint="eastAsia" w:ascii="黑体" w:hAnsi="黑体" w:eastAsia="黑体"/>
          <w:b/>
          <w:bCs/>
          <w:color w:val="000000"/>
          <w:sz w:val="32"/>
          <w:szCs w:val="32"/>
        </w:rPr>
      </w:pPr>
      <w:r>
        <w:rPr>
          <w:rFonts w:hint="eastAsia" w:ascii="黑体" w:hAnsi="黑体" w:eastAsia="黑体"/>
          <w:b/>
          <w:bCs/>
          <w:color w:val="000000"/>
          <w:sz w:val="32"/>
          <w:szCs w:val="32"/>
        </w:rPr>
        <w:t xml:space="preserve">盘锦市大洼区水利局主要职责 </w:t>
      </w:r>
    </w:p>
    <w:p w14:paraId="7BE7CD6D">
      <w:pPr>
        <w:autoSpaceDE w:val="0"/>
        <w:autoSpaceDN w:val="0"/>
        <w:spacing w:beforeAutospacing="0" w:afterAutospacing="0"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（1）贯彻执行国家、省、市部门主要职责：各项水管理法律、法规及有关方针政策；拟订全区水利相关的政策、地方性规章、办法草案并监督实施。</w:t>
      </w:r>
    </w:p>
    <w:p w14:paraId="052A228C">
      <w:pPr>
        <w:ind w:firstLine="640" w:firstLineChars="200"/>
        <w:rPr>
          <w:rFonts w:hint="eastAsia" w:ascii="仿宋" w:hAnsi="仿宋" w:eastAsia="仿宋"/>
          <w:sz w:val="32"/>
          <w:szCs w:val="32"/>
        </w:rPr>
      </w:pPr>
      <w:r>
        <w:rPr>
          <w:rFonts w:hint="eastAsia" w:ascii="仿宋" w:hAnsi="仿宋" w:eastAsia="仿宋"/>
          <w:sz w:val="32"/>
          <w:szCs w:val="32"/>
        </w:rPr>
        <w:t>（2）组织拟订全区水利工作中长期规划和年度计划；组织编制全区主要江河流域规划和有关专业规划并监督实施。</w:t>
      </w:r>
    </w:p>
    <w:p w14:paraId="139EB935">
      <w:pPr>
        <w:rPr>
          <w:rFonts w:hint="eastAsia" w:ascii="仿宋" w:hAnsi="仿宋" w:eastAsia="仿宋"/>
          <w:sz w:val="32"/>
          <w:szCs w:val="32"/>
        </w:rPr>
      </w:pPr>
      <w:r>
        <w:rPr>
          <w:rFonts w:hint="eastAsia" w:ascii="仿宋" w:hAnsi="仿宋" w:eastAsia="仿宋"/>
          <w:sz w:val="32"/>
          <w:szCs w:val="32"/>
        </w:rPr>
        <w:t xml:space="preserve">    （3）拟订全区计划用水、节约用水政策，编制节约用水规划，制定行业用水标准，组织、指导和监督节约用水工作；指导和推动节水型社会建设工作。</w:t>
      </w:r>
    </w:p>
    <w:p w14:paraId="71C0099F">
      <w:pPr>
        <w:ind w:firstLine="640" w:firstLineChars="200"/>
        <w:rPr>
          <w:rFonts w:hint="eastAsia" w:ascii="仿宋" w:hAnsi="仿宋" w:eastAsia="仿宋"/>
          <w:sz w:val="32"/>
          <w:szCs w:val="32"/>
        </w:rPr>
      </w:pPr>
      <w:r>
        <w:rPr>
          <w:rFonts w:hint="eastAsia" w:ascii="仿宋" w:hAnsi="仿宋" w:eastAsia="仿宋"/>
          <w:sz w:val="32"/>
          <w:szCs w:val="32"/>
        </w:rPr>
        <w:t>（4）承担水利资金和水利国有资产的监督管理工作；提出有关水利价格和收费的建议；负责提出水利固定资产投资规模、方向和财政资金安排意见并组织实施。</w:t>
      </w:r>
    </w:p>
    <w:p w14:paraId="5586E559">
      <w:pPr>
        <w:ind w:firstLine="640" w:firstLineChars="200"/>
        <w:rPr>
          <w:rFonts w:hint="eastAsia" w:ascii="仿宋" w:hAnsi="仿宋" w:eastAsia="仿宋"/>
          <w:sz w:val="32"/>
          <w:szCs w:val="32"/>
        </w:rPr>
      </w:pPr>
      <w:r>
        <w:rPr>
          <w:rFonts w:hint="eastAsia" w:ascii="仿宋" w:hAnsi="仿宋" w:eastAsia="仿宋"/>
          <w:sz w:val="32"/>
          <w:szCs w:val="32"/>
        </w:rPr>
        <w:t>（5）组织编制、审查全区大中型和跨镇的水利基本建设项目建议书和可行性报告，监督实施国家和区有关水利行业技术质量标准和水利工程规程、规范。</w:t>
      </w:r>
    </w:p>
    <w:p w14:paraId="59C13591">
      <w:pPr>
        <w:ind w:firstLine="640" w:firstLineChars="200"/>
        <w:rPr>
          <w:rFonts w:hint="eastAsia" w:ascii="仿宋" w:hAnsi="仿宋" w:eastAsia="仿宋"/>
          <w:sz w:val="32"/>
          <w:szCs w:val="32"/>
        </w:rPr>
      </w:pPr>
      <w:r>
        <w:rPr>
          <w:rFonts w:hint="eastAsia" w:ascii="仿宋" w:hAnsi="仿宋" w:eastAsia="仿宋"/>
          <w:sz w:val="32"/>
          <w:szCs w:val="32"/>
        </w:rPr>
        <w:t>（6）组织、指导全区水利设施、水域及其岸线的管理与保护；组织指导县内河流及河口、海岸滩涂的治理和开发；办理区际河流的有关事务；组织、建设和管理具有控制性或跨地区、跨流域的重要水利工程。</w:t>
      </w:r>
    </w:p>
    <w:p w14:paraId="26E64DE7">
      <w:pPr>
        <w:numPr>
          <w:ilvl w:val="0"/>
          <w:numId w:val="3"/>
        </w:numPr>
        <w:rPr>
          <w:rFonts w:hint="eastAsia" w:ascii="仿宋" w:hAnsi="仿宋" w:eastAsia="仿宋"/>
          <w:sz w:val="32"/>
          <w:szCs w:val="32"/>
        </w:rPr>
      </w:pPr>
      <w:r>
        <w:rPr>
          <w:rFonts w:hint="eastAsia" w:ascii="仿宋" w:hAnsi="仿宋" w:eastAsia="仿宋"/>
          <w:sz w:val="32"/>
          <w:szCs w:val="32"/>
        </w:rPr>
        <w:t>负责指导安排使用各种规费和项目资金管理工作。</w:t>
      </w:r>
    </w:p>
    <w:p w14:paraId="6462097F">
      <w:pPr>
        <w:ind w:firstLine="640" w:firstLineChars="200"/>
        <w:rPr>
          <w:rFonts w:hint="eastAsia" w:ascii="仿宋" w:hAnsi="仿宋" w:eastAsia="仿宋"/>
          <w:sz w:val="32"/>
          <w:szCs w:val="32"/>
        </w:rPr>
      </w:pPr>
      <w:r>
        <w:rPr>
          <w:rFonts w:hint="eastAsia" w:ascii="仿宋" w:hAnsi="仿宋" w:eastAsia="仿宋"/>
          <w:sz w:val="32"/>
          <w:szCs w:val="32"/>
        </w:rPr>
        <w:t>（8）组织实施全区水利机构改革、水利站建设等基层服务体系建设管理工作。</w:t>
      </w:r>
    </w:p>
    <w:p w14:paraId="59C7FBC2">
      <w:pPr>
        <w:ind w:firstLine="640" w:firstLineChars="200"/>
        <w:rPr>
          <w:rFonts w:hint="eastAsia" w:ascii="仿宋" w:hAnsi="仿宋" w:eastAsia="仿宋"/>
          <w:sz w:val="32"/>
          <w:szCs w:val="32"/>
        </w:rPr>
      </w:pPr>
      <w:r>
        <w:rPr>
          <w:rFonts w:hint="eastAsia" w:ascii="仿宋" w:hAnsi="仿宋" w:eastAsia="仿宋"/>
          <w:sz w:val="32"/>
          <w:szCs w:val="32"/>
        </w:rPr>
        <w:t>（9）负责组织实施全区大、中、小型水利项目建设管理工作。</w:t>
      </w:r>
    </w:p>
    <w:p w14:paraId="50CBC90E">
      <w:pPr>
        <w:ind w:firstLine="640" w:firstLineChars="200"/>
        <w:rPr>
          <w:rFonts w:hint="eastAsia" w:ascii="宋体" w:hAnsi="宋体"/>
          <w:sz w:val="32"/>
          <w:szCs w:val="32"/>
        </w:rPr>
      </w:pPr>
      <w:r>
        <w:rPr>
          <w:rFonts w:hint="eastAsia" w:ascii="宋体" w:hAnsi="宋体"/>
          <w:sz w:val="32"/>
          <w:szCs w:val="32"/>
        </w:rPr>
        <w:t>（10）</w:t>
      </w:r>
      <w:r>
        <w:rPr>
          <w:rFonts w:hint="eastAsia" w:ascii="仿宋" w:hAnsi="仿宋" w:eastAsia="仿宋"/>
          <w:sz w:val="32"/>
          <w:szCs w:val="32"/>
        </w:rPr>
        <w:t>负责指导安排使用各种规费和项目资金管理工作。</w:t>
      </w:r>
      <w:r>
        <w:rPr>
          <w:rFonts w:hint="eastAsia" w:ascii="黑体" w:hAnsi="黑体" w:eastAsia="黑体"/>
          <w:b/>
          <w:bCs/>
          <w:color w:val="000000"/>
          <w:sz w:val="32"/>
          <w:szCs w:val="32"/>
        </w:rPr>
        <w:t xml:space="preserve">    </w:t>
      </w:r>
      <w:r>
        <w:rPr>
          <w:rFonts w:hint="eastAsia" w:ascii="宋体" w:hAnsi="宋体"/>
          <w:b/>
          <w:bCs/>
          <w:color w:val="000000"/>
          <w:sz w:val="32"/>
          <w:szCs w:val="32"/>
        </w:rPr>
        <w:t xml:space="preserve">   </w:t>
      </w:r>
      <w:r>
        <w:rPr>
          <w:rFonts w:hint="eastAsia" w:ascii="仿宋" w:hAnsi="仿宋" w:eastAsia="仿宋"/>
          <w:color w:val="000000"/>
          <w:sz w:val="32"/>
          <w:szCs w:val="32"/>
        </w:rPr>
        <w:t xml:space="preserve">                                                                                                                                                                                                                                                                                                                                                                                        </w:t>
      </w:r>
    </w:p>
    <w:p w14:paraId="5AD8568B">
      <w:pPr>
        <w:spacing w:beforeAutospacing="0" w:afterAutospacing="0" w:line="360" w:lineRule="auto"/>
        <w:ind w:firstLine="643" w:firstLineChars="200"/>
        <w:rPr>
          <w:rFonts w:hint="eastAsia" w:ascii="黑体" w:hAnsi="黑体" w:eastAsia="黑体"/>
          <w:b/>
          <w:bCs/>
          <w:color w:val="000000"/>
          <w:sz w:val="32"/>
          <w:szCs w:val="32"/>
        </w:rPr>
      </w:pPr>
      <w:r>
        <w:rPr>
          <w:rFonts w:hint="eastAsia" w:ascii="黑体" w:hAnsi="黑体" w:eastAsia="黑体"/>
          <w:b/>
          <w:bCs/>
          <w:color w:val="000000"/>
          <w:sz w:val="32"/>
          <w:szCs w:val="32"/>
        </w:rPr>
        <w:t>二、机构设置</w:t>
      </w:r>
    </w:p>
    <w:p w14:paraId="3A2F7B9A">
      <w:pPr>
        <w:autoSpaceDE w:val="0"/>
        <w:autoSpaceDN w:val="0"/>
        <w:spacing w:beforeAutospacing="0" w:afterAutospacing="0"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根据本部门主要职责，大洼区水利局部门内设机构七个科室，分别是：</w:t>
      </w:r>
    </w:p>
    <w:p w14:paraId="1292EF22">
      <w:pPr>
        <w:pStyle w:val="14"/>
        <w:spacing w:beforeAutospacing="0" w:after="0" w:afterAutospacing="0" w:line="560" w:lineRule="atLeast"/>
        <w:ind w:firstLine="600"/>
        <w:rPr>
          <w:rFonts w:hint="eastAsia" w:ascii="仿宋" w:hAnsi="仿宋" w:eastAsia="仿宋"/>
          <w:b/>
          <w:bCs/>
          <w:sz w:val="32"/>
          <w:szCs w:val="32"/>
        </w:rPr>
      </w:pPr>
      <w:r>
        <w:rPr>
          <w:rFonts w:hint="eastAsia" w:ascii="仿宋" w:hAnsi="仿宋" w:eastAsia="仿宋"/>
          <w:b/>
          <w:bCs/>
          <w:sz w:val="32"/>
          <w:szCs w:val="32"/>
        </w:rPr>
        <w:t>（1）行政审批股（综合办公室）</w:t>
      </w:r>
    </w:p>
    <w:p w14:paraId="7E0B88E0">
      <w:pPr>
        <w:rPr>
          <w:rFonts w:hint="eastAsia" w:ascii="仿宋" w:hAnsi="仿宋" w:eastAsia="仿宋"/>
          <w:sz w:val="32"/>
          <w:szCs w:val="32"/>
        </w:rPr>
      </w:pPr>
      <w:r>
        <w:rPr>
          <w:rFonts w:hint="eastAsia" w:ascii="仿宋" w:hAnsi="仿宋" w:eastAsia="仿宋"/>
          <w:sz w:val="32"/>
          <w:szCs w:val="32"/>
        </w:rPr>
        <w:t xml:space="preserve">    负责本局行政审批工作的组织、协调；严格把好水行政许可审核关，承担本局水行政审批项目的受理、审核、流转、会办和发证以及审批事项否定报备等工作；严格建立项目审批申报登记制度；负责做好行政审批宣传解释工作，提升服务质量和工作效能，树立窗口形象；负责对本局行政审批项目申请和审批材料的保管和归档工作；负责局党委会议的筹备和记录及党委决定事项的督办和落实；负责党委扩大会议及其他党、政重要会议和全局重要会议的筹备、服务工作；负责起草局党委年度工作计划、工作总结及有关文件，做好局党委有关文件的保管；负责协助党委抓好基层党建目标责任制的落实；抓好基层党的思想建设、组织建设、作风建设，并做好督查；负责对干部、后备干部的培养、考察、任免和管理工作；负责管理和培养入党积极分子工作，严格履行入党前的政审工作，严格履行入党手续把好“质量”关；负责干部档案管理和党费收缴工作及党内统计报表的工作；负责制订中心组理论学习计划、党员教育、培训工作</w:t>
      </w:r>
      <w:r>
        <w:rPr>
          <w:rFonts w:hint="eastAsia" w:ascii="仿宋" w:hAnsi="仿宋" w:eastAsia="仿宋"/>
          <w:sz w:val="32"/>
          <w:szCs w:val="32"/>
          <w:lang w:eastAsia="zh-CN"/>
        </w:rPr>
        <w:t>，以</w:t>
      </w:r>
      <w:r>
        <w:rPr>
          <w:rFonts w:hint="eastAsia" w:ascii="仿宋" w:hAnsi="仿宋" w:eastAsia="仿宋"/>
          <w:sz w:val="32"/>
          <w:szCs w:val="32"/>
        </w:rPr>
        <w:t>及全局干部、职工的思想政治工作和精神文明建设；负责协助做好离退休老干部、统战、工、青、妇等各项工作；负责协助做好纪检、宣传工作。做好各类信息报送、《水利简报》编发工作。做好各类图片、影像资料收集、整理、存档工作；负责承办党委、纪委及上级党委、纪委交办的有关党务工作；负责局党政印章的管理和使用；负责公文收发、传阅、催办；负责做好人事档案、工程科技档案、财务档案、文书档案接收、管理、利用、统计工作；负责提供保管期限已满的档案鉴定、销毁工作，编写鉴定销毁清册，并按有关规定向上级档案馆移交应进馆档案文件材料；负责做好电话办理工作；做好保密工作；负责做好档案室、微机室、会议室管理工作；做好电脑、复印机的维护保养工作；做好各类材料打印、复印工作；负责综合行政工作，协调全局行政接待工作；负责机关办公用品的采购、分发；做好机关大楼的消防、安全、保卫工作，做好食堂、小汽车及泵房管理。</w:t>
      </w:r>
    </w:p>
    <w:p w14:paraId="6FA9884E">
      <w:pPr>
        <w:rPr>
          <w:rFonts w:hint="eastAsia" w:ascii="仿宋" w:hAnsi="仿宋" w:eastAsia="仿宋"/>
          <w:b/>
          <w:bCs/>
          <w:sz w:val="32"/>
          <w:szCs w:val="32"/>
        </w:rPr>
      </w:pPr>
      <w:r>
        <w:rPr>
          <w:rFonts w:hint="eastAsia" w:ascii="仿宋" w:hAnsi="仿宋" w:eastAsia="仿宋"/>
          <w:b/>
          <w:bCs/>
          <w:sz w:val="32"/>
          <w:szCs w:val="32"/>
        </w:rPr>
        <w:t xml:space="preserve">   （2）人事劳资股（政策咨询股）    </w:t>
      </w:r>
      <w:r>
        <w:rPr>
          <w:rFonts w:hint="eastAsia" w:ascii="仿宋" w:hAnsi="仿宋" w:eastAsia="仿宋"/>
          <w:sz w:val="32"/>
          <w:szCs w:val="32"/>
        </w:rPr>
        <w:t>　　</w:t>
      </w:r>
    </w:p>
    <w:p w14:paraId="3F844B33">
      <w:pPr>
        <w:ind w:firstLine="640" w:firstLineChars="200"/>
        <w:rPr>
          <w:rFonts w:hint="eastAsia" w:ascii="仿宋" w:hAnsi="仿宋" w:eastAsia="仿宋"/>
          <w:sz w:val="32"/>
          <w:szCs w:val="32"/>
        </w:rPr>
      </w:pPr>
      <w:r>
        <w:rPr>
          <w:rFonts w:hint="eastAsia" w:ascii="仿宋" w:hAnsi="仿宋" w:eastAsia="仿宋"/>
          <w:sz w:val="32"/>
          <w:szCs w:val="32"/>
        </w:rPr>
        <w:t>认真贯彻执行国家的各项法律法规、人力资源和社会保障下发的各种文件及各种社会保障条例精神，为水利事业的发展提供保障。负责接待关于工资、社保等各项待遇的政策咨询工作。负责全局干部职工的年度考核，工资调整、技术职称、等级晋升和职工的调入、调出及离退休手续等相关事宜。收集整理全局职工的个人信息协同社保部门对全局职工的养老保险、医疗保险、工伤保险等一切社保，按照国家相关政策和规定，依法缴费。参与各种人事改革变动，人事劳资报表，根据上级统计部门的要求，按照工资及人员的变化情况进行季报和年度报表。负责全局人事工作，起草有关人事工作管理的初步意见。负责人事档案的管理及保密工作，做好各类人力资源状况的统计、分析、考核、预测、调整、查询和人才库建立等工作。负责用工协议的签订或续签，以及职务调整、人员调配、解聘、离职申请报批手续。负责审定职工的薪资标准和奖金发放标准。负责定期或不定期的全局工资调整工作，以及因试用、转正、转岗、升降职、离职、奖励带来的个别员工工资变动。负责管理人员考勤、调休、请假、加班管理与统计。建立工资</w:t>
      </w:r>
      <w:r>
        <w:rPr>
          <w:rFonts w:hint="eastAsia" w:ascii="仿宋" w:hAnsi="仿宋" w:eastAsia="仿宋"/>
          <w:sz w:val="32"/>
          <w:szCs w:val="32"/>
          <w:lang w:eastAsia="zh-CN"/>
        </w:rPr>
        <w:t>台账</w:t>
      </w:r>
      <w:r>
        <w:rPr>
          <w:rFonts w:hint="eastAsia" w:ascii="仿宋" w:hAnsi="仿宋" w:eastAsia="仿宋"/>
          <w:sz w:val="32"/>
          <w:szCs w:val="32"/>
        </w:rPr>
        <w:t>，负责及时、准确地编制工作人员工资，经财务部审核后领取、发放。</w:t>
      </w:r>
    </w:p>
    <w:p w14:paraId="07D281A2">
      <w:pPr>
        <w:ind w:firstLine="643" w:firstLineChars="200"/>
        <w:rPr>
          <w:rFonts w:hint="eastAsia" w:ascii="仿宋" w:hAnsi="仿宋" w:eastAsia="仿宋"/>
          <w:b/>
          <w:bCs/>
          <w:sz w:val="32"/>
          <w:szCs w:val="32"/>
        </w:rPr>
      </w:pPr>
      <w:r>
        <w:rPr>
          <w:rFonts w:hint="eastAsia" w:ascii="仿宋" w:hAnsi="仿宋" w:eastAsia="仿宋"/>
          <w:b/>
          <w:bCs/>
          <w:sz w:val="32"/>
          <w:szCs w:val="32"/>
        </w:rPr>
        <w:t xml:space="preserve">（3）计划财务股    </w:t>
      </w:r>
    </w:p>
    <w:p w14:paraId="4F6404A5">
      <w:pPr>
        <w:ind w:firstLine="640" w:firstLineChars="200"/>
        <w:rPr>
          <w:rFonts w:hint="eastAsia" w:ascii="仿宋" w:hAnsi="仿宋" w:eastAsia="仿宋"/>
          <w:sz w:val="32"/>
          <w:szCs w:val="32"/>
        </w:rPr>
      </w:pPr>
      <w:r>
        <w:rPr>
          <w:rFonts w:hint="eastAsia" w:ascii="仿宋" w:hAnsi="仿宋" w:eastAsia="仿宋"/>
          <w:sz w:val="32"/>
          <w:szCs w:val="32"/>
        </w:rPr>
        <w:t xml:space="preserve">  严格遵守《</w:t>
      </w:r>
      <w:r>
        <w:rPr>
          <w:rFonts w:hint="eastAsia" w:ascii="仿宋" w:hAnsi="仿宋" w:eastAsia="仿宋"/>
          <w:sz w:val="32"/>
          <w:szCs w:val="32"/>
          <w:lang w:eastAsia="zh-CN"/>
        </w:rPr>
        <w:t>中华人民共和国会计法</w:t>
      </w:r>
      <w:r>
        <w:rPr>
          <w:rFonts w:hint="eastAsia" w:ascii="仿宋" w:hAnsi="仿宋" w:eastAsia="仿宋"/>
          <w:sz w:val="32"/>
          <w:szCs w:val="32"/>
        </w:rPr>
        <w:t>》和《水利基本建设资金管理办法》，执行上级有关财经工作的方针政策和各项规章制度，负责全局行政事业经费、维护经费、专项资金和工程建设资金的管理。根据局制定的年度财务预算，合理分配资金，搞好汇总平衡。负责编制年度财务计划和预、决算，提高资金使用效率，搞好增收节支。贯彻执行水利基本建设规章制度，建立健全基本建设单位资金内部管理制度。及时筹集项目建设资金，保证工程用款，编报年度基本建设预算和年度基建财务决算。办理工程设备价款结算，控制费用性支出，合理、有效使用基本建设基金。收集汇总并上报基建资金的使用管理信息，编报项目效益分析报告，做好验收时的各种准备，及时编报竣工财务决算。建立健全财务管理制度，遵守财经纪律，检查监督单位的财务活动和经费开支情况。按照国家会计制度的规定，记账、算账、报账，做到手续完备，内容真实，数字准确，账目清楚，日清月结，按期报账，维护国家财务制度和财经纪律。负责固定资产立账、调拨、更新、报废的财务管理工作，组织清仓查库。负责对控购物品的审查上报，及时组织资金搞好政府定点采购工作。按时完成会计月报、季报、年报，接受财政、审计、物价等部门审核、检查。做好与上级主管部门的协调工作，完成各项交办工作。承担水利资金的内部管理及审计工作，保证各项任务指标的顺利完成。</w:t>
      </w:r>
    </w:p>
    <w:p w14:paraId="2E93A7FE">
      <w:pPr>
        <w:ind w:firstLine="643" w:firstLineChars="200"/>
        <w:rPr>
          <w:rFonts w:hint="eastAsia" w:ascii="仿宋" w:hAnsi="仿宋" w:eastAsia="仿宋"/>
          <w:b/>
          <w:bCs/>
          <w:sz w:val="32"/>
          <w:szCs w:val="32"/>
        </w:rPr>
      </w:pPr>
      <w:r>
        <w:rPr>
          <w:rFonts w:hint="eastAsia" w:ascii="仿宋" w:hAnsi="仿宋" w:eastAsia="仿宋"/>
          <w:b/>
          <w:bCs/>
          <w:sz w:val="32"/>
          <w:szCs w:val="32"/>
        </w:rPr>
        <w:t xml:space="preserve">（4）信访办公室    </w:t>
      </w:r>
    </w:p>
    <w:p w14:paraId="201E4168">
      <w:pPr>
        <w:rPr>
          <w:rFonts w:hint="eastAsia" w:ascii="仿宋" w:hAnsi="仿宋" w:eastAsia="仿宋"/>
          <w:sz w:val="32"/>
          <w:szCs w:val="32"/>
        </w:rPr>
      </w:pPr>
      <w:r>
        <w:rPr>
          <w:rFonts w:hint="eastAsia" w:ascii="仿宋" w:hAnsi="仿宋" w:eastAsia="仿宋"/>
          <w:sz w:val="32"/>
          <w:szCs w:val="32"/>
        </w:rPr>
        <w:t xml:space="preserve">    负责受理、接待并处理群众来信、来电、来访。负责承办上级行政机关和本级行政机关负责人以及有关部门转办、交办的信访事项。负责向下级行政机关或者有关责任单位转办、交办、督办信访事项。负责参与协调处理有关部门的代理信访事项，督促有关部门对代理信访事项及时办理，并向有关部门提出工作意见和建议。不定期对本部门信访不稳定因素进行排查，及时掌握不稳定因素和越级上访信息；协助大型集体上访和突发事件的应急处理，负责集体来访的跟踪反馈。</w:t>
      </w:r>
    </w:p>
    <w:p w14:paraId="5D6206BA">
      <w:pPr>
        <w:rPr>
          <w:rFonts w:hint="eastAsia" w:ascii="仿宋" w:hAnsi="仿宋" w:eastAsia="仿宋"/>
          <w:b/>
          <w:bCs/>
          <w:sz w:val="32"/>
          <w:szCs w:val="32"/>
        </w:rPr>
      </w:pPr>
      <w:r>
        <w:rPr>
          <w:rFonts w:hint="eastAsia" w:ascii="仿宋" w:hAnsi="仿宋" w:eastAsia="仿宋"/>
          <w:b/>
          <w:bCs/>
          <w:sz w:val="32"/>
          <w:szCs w:val="32"/>
        </w:rPr>
        <w:t xml:space="preserve">    （5)机电灌溉股    </w:t>
      </w:r>
    </w:p>
    <w:p w14:paraId="7EA1FF66">
      <w:pPr>
        <w:ind w:firstLine="640" w:firstLineChars="200"/>
        <w:rPr>
          <w:rFonts w:hint="eastAsia" w:ascii="仿宋" w:hAnsi="仿宋" w:eastAsia="仿宋"/>
          <w:sz w:val="32"/>
          <w:szCs w:val="32"/>
        </w:rPr>
      </w:pPr>
      <w:r>
        <w:rPr>
          <w:rFonts w:hint="eastAsia" w:ascii="仿宋" w:hAnsi="仿宋" w:eastAsia="仿宋"/>
          <w:sz w:val="32"/>
          <w:szCs w:val="32"/>
        </w:rPr>
        <w:t>负责核定全区农田灌溉面积、灌溉定额、灌溉水量，保证全区农业供水。负责编制全区用水计划以及阶段用水计划。有计划引水、调水、配水、量水以及排水，提高渠系有效利用系数。负责审定各灌区、用水户用水计划。负责调水事故、用水纠纷的处理。负责结算农业用水水量、水费。负责做好落水后年报、报表以及全区的灌溉管理总结。负责做好配水人员的培训工作。负责做好汛期排涝工作，编制排涝预案。负责抗旱期间全区用水调度，编制抗旱预案。负责对各灌区管理所、水库管理所、各镇水利站进行业务指导。全面贯彻执行国家机电行业管理政策与安全相关的法律、法规、规章、技术规范等规定，做好全区机电排灌站的技术指导及管理工作。对全区机电排灌站实行行业管理，检查、监督、指导日常工作，确保安全生产，提高泵站效益。收集行业前沿信息，推广机电行业最新科技成果与成功经验，协同有关部门拟定并组织实施机电管理新技术推广规划、计划及相关制度。协同有关部门进行全区机电排灌站建设与更新改造工程的规划、设计、审查立项、上报审批和建设施工的监督管理，协助有关部门组织机电排灌工程的项目论证、工程验收等工作。制定局属排灌站年度工作计划，审核机电设备运行、检修、更新改造计划、审核预算和决算，管理其运行、检修工作。负责全区机电排灌站安全标准化及安全程度评估工作。制定、实施《机电排灌站综合考评》办法。协同有关部门参与局属各站重大机电排灌工程事故的抢险指挥、现场处置、组织救援、事故调查、善后处理、总结教训、制定并落实整改措施等工作。对全区机电排灌站生产运行、设备检修工作提供技术支持。编制本地区排灌站安全运行管理规程及有关工种岗位技术操作标准和流程，并督促落实。对局属排灌站生产运行进行调度指挥。制定并落实职工培训计划，组织培训考核、技术比武、能力竞赛等工作。收集整理全区泵站运行管理资料，做好技术档案的整理、汇总、电子存档等工作。</w:t>
      </w:r>
    </w:p>
    <w:p w14:paraId="59B514D8">
      <w:pPr>
        <w:rPr>
          <w:rFonts w:hint="eastAsia" w:ascii="仿宋" w:hAnsi="仿宋" w:eastAsia="仿宋"/>
          <w:b/>
          <w:bCs/>
          <w:sz w:val="32"/>
          <w:szCs w:val="32"/>
        </w:rPr>
      </w:pPr>
      <w:r>
        <w:rPr>
          <w:rFonts w:hint="eastAsia" w:ascii="仿宋" w:hAnsi="仿宋" w:eastAsia="仿宋"/>
          <w:b/>
          <w:bCs/>
          <w:sz w:val="32"/>
          <w:szCs w:val="32"/>
        </w:rPr>
        <w:t xml:space="preserve">   (6)工程计划管理办公室   </w:t>
      </w:r>
    </w:p>
    <w:p w14:paraId="55410EAC">
      <w:pPr>
        <w:rPr>
          <w:rFonts w:hint="eastAsia" w:ascii="仿宋" w:hAnsi="仿宋" w:eastAsia="仿宋"/>
          <w:sz w:val="32"/>
          <w:szCs w:val="32"/>
        </w:rPr>
      </w:pPr>
      <w:r>
        <w:rPr>
          <w:rFonts w:hint="eastAsia" w:ascii="仿宋" w:hAnsi="仿宋" w:eastAsia="仿宋"/>
          <w:sz w:val="32"/>
          <w:szCs w:val="32"/>
        </w:rPr>
        <w:t xml:space="preserve">    负责全区大中型水利工程的建设与管理工作。负责全区各镇水利工程建设、管理、维修养护等工作的监督、检查、指导。负责组织全区水利中长期发展规划的编制上报工作。负责组织全区年度水利投资计划的编制上报工作。负责大型灌区续建配套与节水改造项目建设管理工作。负责全区大中小型泵站更新改造项目建设管理工作。负责全区病险水库除险加固工程建设管理工作。负责局属各灌区、抽水站等单位水工建筑物维修养护计划的编制、审批与验收工作。负责全区水利工程建设管理技术培训与指导工作。负责水利项目前期工作的组织协调及经费的申报工作。围绕全局确定的前期工作任务和目标，提出并实施具体的操作方案，重点包括项目建设形象进度、时间节点、责任人、责任单位、具体措施等。负责项目前期工作的督促推进工作。负责农建宣传、竞赛和评优工作。负责农田基本建设“大禹杯”竞赛方案落实工作。负责全县农建计划和完成进度统计编报工作。检查和指导全县各镇农建计划实施情况。负责水利系统年报统计工作。配合相关部门完成水利工程项目的呈报统计工作。</w:t>
      </w:r>
    </w:p>
    <w:p w14:paraId="69B0CA6C">
      <w:pPr>
        <w:rPr>
          <w:rFonts w:hint="eastAsia" w:ascii="仿宋" w:hAnsi="仿宋" w:eastAsia="仿宋"/>
          <w:b/>
          <w:bCs/>
          <w:sz w:val="32"/>
          <w:szCs w:val="32"/>
        </w:rPr>
      </w:pPr>
      <w:r>
        <w:rPr>
          <w:rFonts w:hint="eastAsia" w:ascii="仿宋" w:hAnsi="仿宋" w:eastAsia="仿宋"/>
          <w:b/>
          <w:bCs/>
          <w:sz w:val="32"/>
          <w:szCs w:val="32"/>
        </w:rPr>
        <w:t xml:space="preserve">   (7)安全监察股   </w:t>
      </w:r>
    </w:p>
    <w:p w14:paraId="721A018B">
      <w:pPr>
        <w:ind w:firstLine="640" w:firstLineChars="200"/>
        <w:rPr>
          <w:rFonts w:hint="eastAsia" w:ascii="仿宋" w:hAnsi="仿宋" w:eastAsia="仿宋"/>
          <w:sz w:val="32"/>
          <w:szCs w:val="32"/>
        </w:rPr>
      </w:pPr>
      <w:r>
        <w:rPr>
          <w:rFonts w:hint="eastAsia" w:ascii="仿宋" w:hAnsi="仿宋" w:eastAsia="仿宋"/>
          <w:sz w:val="32"/>
          <w:szCs w:val="32"/>
        </w:rPr>
        <w:t>认真落实国家、省、市、区有关安全生产的方针、政策、法律、法规和制度，监察本系统安全生产工作，及时纠正生产管理中的违章和失职行为，对本系统的安全工作进行指导、监督和考核；对局长、分管局长和局安全生产领导小组负责，并负责安全生产领导小组日常工作、接受上级安全管理部门的指导和监督，对本部门安全工作负总责；组织、协调和安排局安全生产领导小组各成员（部门）完成安全监督管理的具体工作和局领导临时交办的任务，并按时向局安全生产领导小组、上级有关部门报告；负责起草局或安全生产领导小组有关安全监管制度、标准、规定、办法、意见、报告和指导性安全文件，负责协调、组织相关部门制定“事故隐患”整改方案；协助分管局长做好安全宣传教育等重大活动、会议的组织、协调、联络和承办工作，并负责起草年度或阶段性安全工作规划、计划、总结、考核资料；负责组织相关人员（部门）进行本系统安全管理评价、安全生产状况评估和安全生产责任制、安全监管考评工作，并及时向局安全生产领导小组和有关部门提报考评情况资料；负责对基层安全管理人员进行岗位安全培训和全系统安全研讨、安全专项活动的具体组织、协调、实施、总结、借鉴，推广先进经验；负责汇总统计本系统安全生产情况，定期分析安全生产形势，结合上级要求，及时提出工作意见和措施；负责建立健全本系统安全各项管理规章制度、标准、办法和工作必备的各种原始记录、报表、台账及文件档案资料；定期或不定期组织开展安全生产（管理）大检查，做到有方案、有实施、有总结汇报。发现事故隐患及时签发《事故隐患整改通知书单》，督导责任单位（部门）限期完成整改；加强对新建、改建、扩建工程项目实行安全设施“三同时”规定的审查，加大对建设工程施工中存在的安全隐患的查处力度，全面准确掌握管内安全生产动态；遇系统管内重特大生产、安全事故，按局应急预案要求，随局长或分管局长前往调查和处理。</w:t>
      </w:r>
    </w:p>
    <w:p w14:paraId="51DC455A">
      <w:pPr>
        <w:pStyle w:val="2"/>
        <w:spacing w:before="0" w:beforeAutospacing="0" w:after="0" w:afterAutospacing="0" w:line="6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根据本部门主要职责</w:t>
      </w:r>
      <w:r>
        <w:rPr>
          <w:rFonts w:hint="eastAsia" w:ascii="仿宋_GB2312" w:hAnsi="仿宋_GB2312" w:eastAsia="仿宋_GB2312"/>
          <w:sz w:val="32"/>
          <w:szCs w:val="32"/>
        </w:rPr>
        <w:t>，盘锦市大洼区</w:t>
      </w:r>
      <w:r>
        <w:rPr>
          <w:rStyle w:val="15"/>
          <w:rFonts w:hint="eastAsia" w:ascii="仿宋_GB2312" w:hAnsi="仿宋_GB2312" w:eastAsia="仿宋_GB2312"/>
          <w:b w:val="0"/>
          <w:bCs w:val="0"/>
          <w:sz w:val="32"/>
          <w:szCs w:val="32"/>
        </w:rPr>
        <w:t>水利服务中心</w:t>
      </w:r>
      <w:r>
        <w:rPr>
          <w:rFonts w:hint="eastAsia" w:ascii="仿宋_GB2312" w:hAnsi="仿宋_GB2312" w:eastAsia="仿宋_GB2312"/>
          <w:sz w:val="32"/>
          <w:szCs w:val="32"/>
        </w:rPr>
        <w:t>设</w:t>
      </w:r>
      <w:r>
        <w:rPr>
          <w:rStyle w:val="15"/>
          <w:rFonts w:hint="eastAsia" w:ascii="仿宋_GB2312" w:hAnsi="仿宋_GB2312" w:eastAsia="仿宋_GB2312"/>
          <w:b w:val="0"/>
          <w:bCs w:val="0"/>
          <w:sz w:val="32"/>
          <w:szCs w:val="32"/>
        </w:rPr>
        <w:t>12</w:t>
      </w:r>
      <w:r>
        <w:rPr>
          <w:rFonts w:hint="eastAsia" w:ascii="仿宋_GB2312" w:hAnsi="仿宋_GB2312" w:eastAsia="仿宋_GB2312"/>
          <w:sz w:val="32"/>
          <w:szCs w:val="32"/>
        </w:rPr>
        <w:t>个分支机构：</w:t>
      </w:r>
    </w:p>
    <w:p w14:paraId="36A1370E">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1.水土保持局</w:t>
      </w:r>
    </w:p>
    <w:p w14:paraId="165961DF">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2.水政监察大队</w:t>
      </w:r>
    </w:p>
    <w:p w14:paraId="57B64EAA">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3.水利技术推广中心</w:t>
      </w:r>
    </w:p>
    <w:p w14:paraId="53707789">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4.水资源办公室</w:t>
      </w:r>
    </w:p>
    <w:p w14:paraId="182546EA">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5.南河沿排灌站</w:t>
      </w:r>
    </w:p>
    <w:p w14:paraId="77174403">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6.东风排灌站</w:t>
      </w:r>
    </w:p>
    <w:p w14:paraId="57C95C2D">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7.田庄台抽水站</w:t>
      </w:r>
    </w:p>
    <w:p w14:paraId="06314510">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8.疙瘩楼水库管理所</w:t>
      </w:r>
    </w:p>
    <w:p w14:paraId="73AA1FE7">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9.大洼灌区管理所</w:t>
      </w:r>
    </w:p>
    <w:p w14:paraId="2ECF2506">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10.新开灌区管理所</w:t>
      </w:r>
    </w:p>
    <w:p w14:paraId="33BC0D7D">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11.三角洲灌区管理所</w:t>
      </w:r>
    </w:p>
    <w:p w14:paraId="7E046AC9">
      <w:pPr>
        <w:spacing w:beforeAutospacing="0" w:afterAutospacing="0"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12.前进灌区管理所</w:t>
      </w:r>
    </w:p>
    <w:p w14:paraId="6FECC11B">
      <w:pPr>
        <w:ind w:firstLine="640" w:firstLineChars="200"/>
        <w:rPr>
          <w:rFonts w:hint="eastAsia" w:ascii="仿宋" w:hAnsi="仿宋" w:eastAsia="仿宋"/>
          <w:sz w:val="32"/>
          <w:szCs w:val="32"/>
        </w:rPr>
      </w:pPr>
    </w:p>
    <w:p w14:paraId="4EE49339">
      <w:pPr>
        <w:spacing w:beforeAutospacing="0" w:afterAutospacing="0" w:line="360" w:lineRule="auto"/>
        <w:rPr>
          <w:rFonts w:hint="eastAsia" w:ascii="宋体" w:hAnsi="宋体"/>
          <w:b/>
          <w:bCs/>
          <w:sz w:val="32"/>
          <w:szCs w:val="32"/>
        </w:rPr>
      </w:pPr>
      <w:r>
        <w:rPr>
          <w:rFonts w:hint="eastAsia" w:ascii="宋体" w:hAnsi="宋体"/>
          <w:b/>
          <w:bCs/>
          <w:sz w:val="32"/>
          <w:szCs w:val="32"/>
        </w:rPr>
        <w:t xml:space="preserve"> </w:t>
      </w:r>
      <w:r>
        <w:rPr>
          <w:rFonts w:hint="eastAsia" w:ascii="仿宋" w:hAnsi="仿宋" w:eastAsia="仿宋"/>
          <w:sz w:val="32"/>
          <w:szCs w:val="32"/>
        </w:rPr>
        <w:t xml:space="preserve">    </w:t>
      </w:r>
      <w:r>
        <w:rPr>
          <w:rFonts w:hint="eastAsia" w:ascii="黑体" w:hAnsi="黑体" w:eastAsia="黑体"/>
          <w:b/>
          <w:bCs/>
          <w:color w:val="000000"/>
          <w:sz w:val="32"/>
          <w:szCs w:val="32"/>
        </w:rPr>
        <w:t>三、部门预算单位构成</w:t>
      </w:r>
    </w:p>
    <w:p w14:paraId="4BE04EA9">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纳入盘锦市大洼区</w:t>
      </w:r>
      <w:r>
        <w:rPr>
          <w:rFonts w:hint="eastAsia" w:ascii="仿宋" w:hAnsi="仿宋" w:eastAsia="仿宋"/>
          <w:bCs/>
          <w:sz w:val="32"/>
          <w:szCs w:val="32"/>
        </w:rPr>
        <w:t>水利局</w:t>
      </w:r>
      <w:r>
        <w:rPr>
          <w:rFonts w:hint="eastAsia" w:ascii="仿宋" w:hAnsi="仿宋" w:eastAsia="仿宋"/>
          <w:color w:val="000000"/>
          <w:sz w:val="32"/>
          <w:szCs w:val="32"/>
        </w:rPr>
        <w:t>2022年度部门预算编制范围的</w:t>
      </w:r>
      <w:r>
        <w:rPr>
          <w:rFonts w:hint="eastAsia" w:ascii="仿宋" w:hAnsi="仿宋" w:eastAsia="仿宋"/>
          <w:color w:val="000000"/>
          <w:sz w:val="32"/>
        </w:rPr>
        <w:t>预算</w:t>
      </w:r>
      <w:r>
        <w:rPr>
          <w:rFonts w:hint="eastAsia" w:ascii="仿宋" w:hAnsi="仿宋" w:eastAsia="仿宋"/>
          <w:color w:val="000000"/>
          <w:sz w:val="32"/>
          <w:szCs w:val="32"/>
        </w:rPr>
        <w:t>单位包括：</w:t>
      </w:r>
    </w:p>
    <w:p w14:paraId="338EA55D">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大洼区水利局本级</w:t>
      </w:r>
    </w:p>
    <w:p w14:paraId="2070E9AE">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大洼区水利服务中心</w:t>
      </w:r>
    </w:p>
    <w:p w14:paraId="2EB95676">
      <w:pPr>
        <w:spacing w:beforeAutospacing="0" w:afterAutospacing="0" w:line="360" w:lineRule="auto"/>
        <w:ind w:firstLine="643" w:firstLineChars="200"/>
        <w:rPr>
          <w:rFonts w:hint="eastAsia" w:ascii="黑体" w:hAnsi="黑体" w:eastAsia="黑体"/>
          <w:b/>
          <w:bCs/>
          <w:color w:val="000000"/>
          <w:sz w:val="32"/>
          <w:szCs w:val="32"/>
        </w:rPr>
      </w:pPr>
    </w:p>
    <w:p w14:paraId="47231937">
      <w:pPr>
        <w:spacing w:beforeAutospacing="0" w:afterAutospacing="0" w:line="360" w:lineRule="auto"/>
        <w:ind w:firstLine="643" w:firstLineChars="200"/>
        <w:rPr>
          <w:rFonts w:hint="eastAsia" w:ascii="黑体" w:hAnsi="黑体" w:eastAsia="黑体"/>
          <w:b/>
          <w:bCs/>
          <w:color w:val="000000"/>
          <w:sz w:val="32"/>
          <w:szCs w:val="32"/>
        </w:rPr>
      </w:pPr>
    </w:p>
    <w:p w14:paraId="2D83971B">
      <w:pPr>
        <w:spacing w:beforeAutospacing="0" w:afterAutospacing="0" w:line="360" w:lineRule="auto"/>
        <w:ind w:firstLine="883" w:firstLineChars="200"/>
        <w:rPr>
          <w:rFonts w:hint="eastAsia" w:ascii="宋体" w:hAnsi="宋体"/>
          <w:b/>
          <w:bCs/>
          <w:color w:val="000000"/>
          <w:sz w:val="44"/>
          <w:szCs w:val="44"/>
        </w:rPr>
      </w:pPr>
      <w:r>
        <w:rPr>
          <w:rFonts w:hint="eastAsia" w:ascii="宋体" w:hAnsi="宋体"/>
          <w:b/>
          <w:bCs/>
          <w:color w:val="000000"/>
          <w:sz w:val="44"/>
          <w:szCs w:val="44"/>
        </w:rPr>
        <w:t xml:space="preserve">        第二部分</w:t>
      </w:r>
    </w:p>
    <w:p w14:paraId="19393E9F">
      <w:pPr>
        <w:spacing w:beforeAutospacing="0" w:afterAutospacing="0" w:line="360" w:lineRule="auto"/>
        <w:ind w:firstLine="883" w:firstLineChars="200"/>
        <w:rPr>
          <w:rFonts w:hint="eastAsia" w:ascii="宋体" w:hAnsi="宋体"/>
          <w:b/>
          <w:bCs/>
          <w:color w:val="000000"/>
          <w:sz w:val="44"/>
          <w:szCs w:val="44"/>
        </w:rPr>
      </w:pPr>
      <w:r>
        <w:rPr>
          <w:rFonts w:hint="eastAsia" w:ascii="宋体" w:hAnsi="宋体"/>
          <w:b/>
          <w:bCs/>
          <w:color w:val="000000"/>
          <w:sz w:val="44"/>
          <w:szCs w:val="44"/>
        </w:rPr>
        <w:t>盘锦市大洼区</w:t>
      </w:r>
      <w:r>
        <w:rPr>
          <w:rFonts w:hint="eastAsia" w:ascii="宋体" w:hAnsi="宋体"/>
          <w:bCs/>
          <w:sz w:val="44"/>
          <w:szCs w:val="44"/>
        </w:rPr>
        <w:t>水利局</w:t>
      </w:r>
      <w:r>
        <w:rPr>
          <w:rFonts w:hint="eastAsia" w:ascii="宋体" w:hAnsi="宋体"/>
          <w:b/>
          <w:bCs/>
          <w:color w:val="000000"/>
          <w:sz w:val="44"/>
          <w:szCs w:val="44"/>
        </w:rPr>
        <w:t>2023年部门</w:t>
      </w:r>
    </w:p>
    <w:p w14:paraId="3400EB4A">
      <w:pPr>
        <w:spacing w:beforeAutospacing="0" w:afterAutospacing="0" w:line="360" w:lineRule="auto"/>
        <w:ind w:firstLine="2429" w:firstLineChars="550"/>
        <w:rPr>
          <w:rFonts w:hint="eastAsia" w:ascii="宋体" w:hAnsi="宋体"/>
          <w:b/>
          <w:bCs/>
          <w:color w:val="000000"/>
          <w:sz w:val="44"/>
          <w:szCs w:val="44"/>
        </w:rPr>
      </w:pPr>
      <w:r>
        <w:rPr>
          <w:rFonts w:hint="eastAsia" w:ascii="宋体" w:hAnsi="宋体"/>
          <w:b/>
          <w:bCs/>
          <w:color w:val="000000"/>
          <w:sz w:val="44"/>
          <w:szCs w:val="44"/>
        </w:rPr>
        <w:t>预算公开报表</w:t>
      </w:r>
    </w:p>
    <w:p w14:paraId="52BED706">
      <w:pPr>
        <w:spacing w:beforeAutospacing="0" w:afterAutospacing="0" w:line="360" w:lineRule="auto"/>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 xml:space="preserve">          </w:t>
      </w:r>
      <w:r>
        <w:rPr>
          <w:rFonts w:hint="eastAsia" w:ascii="仿宋" w:hAnsi="仿宋" w:eastAsia="仿宋"/>
          <w:b/>
          <w:bCs/>
          <w:color w:val="000000"/>
          <w:sz w:val="30"/>
          <w:szCs w:val="30"/>
        </w:rPr>
        <w:t xml:space="preserve"> （该部分内容详见附件）</w:t>
      </w:r>
    </w:p>
    <w:p w14:paraId="666B3648">
      <w:pPr>
        <w:spacing w:beforeAutospacing="0" w:afterAutospacing="0" w:line="360" w:lineRule="auto"/>
        <w:ind w:firstLine="602" w:firstLineChars="200"/>
        <w:jc w:val="left"/>
        <w:rPr>
          <w:rFonts w:hint="eastAsia" w:ascii="仿宋" w:hAnsi="仿宋" w:eastAsia="仿宋"/>
          <w:b/>
          <w:bCs/>
          <w:color w:val="000000"/>
          <w:sz w:val="30"/>
          <w:szCs w:val="30"/>
        </w:rPr>
      </w:pPr>
    </w:p>
    <w:p w14:paraId="0726ED7D">
      <w:pPr>
        <w:spacing w:beforeAutospacing="0" w:afterAutospacing="0" w:line="360" w:lineRule="auto"/>
        <w:ind w:firstLine="602" w:firstLineChars="200"/>
        <w:jc w:val="left"/>
        <w:rPr>
          <w:rFonts w:hint="eastAsia" w:ascii="仿宋" w:hAnsi="仿宋" w:eastAsia="仿宋"/>
          <w:b/>
          <w:bCs/>
          <w:color w:val="000000"/>
          <w:sz w:val="30"/>
          <w:szCs w:val="30"/>
        </w:rPr>
      </w:pPr>
    </w:p>
    <w:p w14:paraId="070305B2">
      <w:pPr>
        <w:spacing w:beforeAutospacing="0" w:afterAutospacing="0" w:line="360" w:lineRule="auto"/>
        <w:ind w:firstLine="602" w:firstLineChars="200"/>
        <w:jc w:val="left"/>
        <w:rPr>
          <w:rFonts w:hint="eastAsia" w:ascii="仿宋" w:hAnsi="仿宋" w:eastAsia="仿宋"/>
          <w:b/>
          <w:bCs/>
          <w:color w:val="000000"/>
          <w:sz w:val="30"/>
          <w:szCs w:val="30"/>
        </w:rPr>
      </w:pPr>
    </w:p>
    <w:p w14:paraId="2C604D16">
      <w:pPr>
        <w:numPr>
          <w:ilvl w:val="0"/>
          <w:numId w:val="4"/>
        </w:numPr>
        <w:spacing w:beforeAutospacing="0" w:afterAutospacing="0" w:line="360" w:lineRule="auto"/>
        <w:jc w:val="center"/>
        <w:rPr>
          <w:rFonts w:hint="eastAsia" w:ascii="宋体" w:hAnsi="宋体"/>
          <w:b/>
          <w:bCs/>
          <w:color w:val="000000"/>
          <w:sz w:val="44"/>
          <w:szCs w:val="44"/>
        </w:rPr>
      </w:pPr>
      <w:r>
        <w:rPr>
          <w:rFonts w:hint="eastAsia" w:ascii="宋体" w:hAnsi="宋体"/>
          <w:b/>
          <w:bCs/>
          <w:color w:val="000000"/>
          <w:sz w:val="44"/>
          <w:szCs w:val="44"/>
        </w:rPr>
        <w:t xml:space="preserve">分  </w:t>
      </w:r>
    </w:p>
    <w:p w14:paraId="6570A7C0">
      <w:pPr>
        <w:spacing w:beforeAutospacing="0" w:afterAutospacing="0" w:line="360" w:lineRule="auto"/>
        <w:ind w:firstLine="181" w:firstLineChars="50"/>
        <w:rPr>
          <w:rFonts w:hint="eastAsia" w:ascii="仿宋" w:hAnsi="仿宋" w:eastAsia="仿宋"/>
          <w:b/>
          <w:bCs/>
          <w:color w:val="000000"/>
          <w:sz w:val="36"/>
          <w:szCs w:val="36"/>
        </w:rPr>
      </w:pPr>
      <w:r>
        <w:rPr>
          <w:rFonts w:hint="eastAsia" w:ascii="仿宋" w:hAnsi="仿宋" w:eastAsia="仿宋"/>
          <w:b/>
          <w:bCs/>
          <w:color w:val="000000"/>
          <w:sz w:val="36"/>
          <w:szCs w:val="36"/>
        </w:rPr>
        <w:t>盘锦市大洼区</w:t>
      </w:r>
      <w:r>
        <w:rPr>
          <w:rFonts w:hint="eastAsia" w:ascii="仿宋" w:hAnsi="仿宋" w:eastAsia="仿宋"/>
          <w:b/>
          <w:bCs/>
          <w:sz w:val="36"/>
          <w:szCs w:val="36"/>
        </w:rPr>
        <w:t>水利局</w:t>
      </w:r>
      <w:r>
        <w:rPr>
          <w:rFonts w:hint="eastAsia" w:ascii="仿宋" w:hAnsi="仿宋" w:eastAsia="仿宋"/>
          <w:b/>
          <w:bCs/>
          <w:color w:val="000000"/>
          <w:sz w:val="36"/>
          <w:szCs w:val="36"/>
        </w:rPr>
        <w:t>2023年部门预算情况说明</w:t>
      </w:r>
    </w:p>
    <w:p w14:paraId="1A38CBB0">
      <w:pPr>
        <w:spacing w:beforeAutospacing="0" w:afterAutospacing="0" w:line="360" w:lineRule="auto"/>
        <w:ind w:firstLine="723" w:firstLineChars="200"/>
        <w:rPr>
          <w:rFonts w:hint="eastAsia" w:ascii="仿宋" w:hAnsi="仿宋" w:eastAsia="仿宋"/>
          <w:b/>
          <w:bCs/>
          <w:color w:val="000000"/>
          <w:sz w:val="36"/>
          <w:szCs w:val="36"/>
        </w:rPr>
      </w:pPr>
      <w:r>
        <w:rPr>
          <w:rFonts w:hint="eastAsia" w:ascii="仿宋" w:hAnsi="仿宋" w:eastAsia="仿宋"/>
          <w:b/>
          <w:bCs/>
          <w:color w:val="000000"/>
          <w:sz w:val="36"/>
          <w:szCs w:val="36"/>
        </w:rPr>
        <w:t xml:space="preserve"> </w:t>
      </w:r>
    </w:p>
    <w:p w14:paraId="3A6C85CD">
      <w:pPr>
        <w:spacing w:beforeAutospacing="0" w:afterAutospacing="0" w:line="360" w:lineRule="auto"/>
        <w:ind w:firstLine="602" w:firstLineChars="200"/>
        <w:rPr>
          <w:rFonts w:hint="eastAsia" w:ascii="宋体" w:hAnsi="宋体"/>
          <w:b/>
          <w:bCs/>
          <w:color w:val="000000"/>
          <w:sz w:val="30"/>
          <w:szCs w:val="30"/>
        </w:rPr>
      </w:pPr>
      <w:r>
        <w:rPr>
          <w:rFonts w:hint="eastAsia" w:ascii="宋体" w:hAnsi="宋体"/>
          <w:b/>
          <w:bCs/>
          <w:color w:val="000000"/>
          <w:sz w:val="30"/>
          <w:szCs w:val="30"/>
        </w:rPr>
        <w:t xml:space="preserve"> </w:t>
      </w:r>
      <w:r>
        <w:rPr>
          <w:rFonts w:hint="eastAsia" w:ascii="黑体" w:hAnsi="黑体" w:eastAsia="黑体"/>
          <w:b/>
          <w:bCs/>
          <w:color w:val="000000"/>
          <w:sz w:val="32"/>
          <w:szCs w:val="32"/>
        </w:rPr>
        <w:t>一、收支预算的总体情况说明</w:t>
      </w:r>
    </w:p>
    <w:p w14:paraId="6CA5F178">
      <w:pPr>
        <w:spacing w:beforeAutospacing="0" w:afterAutospacing="0" w:line="360" w:lineRule="auto"/>
        <w:ind w:firstLine="624" w:firstLineChars="195"/>
        <w:rPr>
          <w:rFonts w:hint="eastAsia" w:ascii="仿宋" w:hAnsi="仿宋" w:eastAsia="仿宋"/>
          <w:color w:val="000000"/>
          <w:sz w:val="32"/>
        </w:rPr>
      </w:pPr>
      <w:r>
        <w:rPr>
          <w:rFonts w:hint="eastAsia" w:ascii="仿宋" w:hAnsi="仿宋" w:eastAsia="仿宋"/>
          <w:color w:val="000000"/>
          <w:sz w:val="32"/>
        </w:rPr>
        <w:t>按照综合预算的原则，2023年盘锦市大洼区</w:t>
      </w:r>
      <w:r>
        <w:rPr>
          <w:rFonts w:hint="eastAsia" w:ascii="仿宋" w:hAnsi="仿宋" w:eastAsia="仿宋"/>
          <w:bCs/>
          <w:sz w:val="32"/>
          <w:szCs w:val="32"/>
        </w:rPr>
        <w:t>水利局</w:t>
      </w:r>
      <w:r>
        <w:rPr>
          <w:rFonts w:hint="eastAsia" w:ascii="仿宋" w:hAnsi="仿宋" w:eastAsia="仿宋"/>
          <w:color w:val="000000"/>
          <w:sz w:val="32"/>
        </w:rPr>
        <w:t>所有收入和支出均纳入部门预算管理。其中：</w:t>
      </w:r>
    </w:p>
    <w:p w14:paraId="61CE46C7">
      <w:pPr>
        <w:numPr>
          <w:ilvl w:val="0"/>
          <w:numId w:val="5"/>
        </w:numPr>
        <w:spacing w:beforeAutospacing="0" w:afterAutospacing="0" w:line="360" w:lineRule="auto"/>
        <w:ind w:firstLine="624" w:firstLineChars="195"/>
        <w:rPr>
          <w:rFonts w:hint="eastAsia" w:ascii="楷体" w:hAnsi="楷体" w:eastAsia="楷体"/>
          <w:color w:val="000000"/>
          <w:sz w:val="32"/>
        </w:rPr>
      </w:pPr>
      <w:r>
        <w:rPr>
          <w:rFonts w:hint="eastAsia" w:ascii="楷体" w:hAnsi="楷体" w:eastAsia="楷体"/>
          <w:color w:val="000000"/>
          <w:sz w:val="32"/>
        </w:rPr>
        <w:t>收入预算</w:t>
      </w:r>
      <w:r>
        <w:rPr>
          <w:rFonts w:hint="eastAsia" w:ascii="楷体" w:hAnsi="楷体" w:eastAsia="楷体"/>
          <w:bCs/>
          <w:sz w:val="32"/>
          <w:szCs w:val="32"/>
        </w:rPr>
        <w:t>3187.90</w:t>
      </w:r>
      <w:r>
        <w:rPr>
          <w:rFonts w:hint="eastAsia" w:ascii="楷体" w:hAnsi="楷体" w:eastAsia="楷体"/>
          <w:color w:val="000000"/>
          <w:sz w:val="32"/>
        </w:rPr>
        <w:t>万元，包括：</w:t>
      </w:r>
    </w:p>
    <w:p w14:paraId="6FDCA4B1">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333333"/>
          <w:sz w:val="32"/>
          <w:szCs w:val="32"/>
          <w:shd w:val="clear" w:color="auto" w:fill="FFFFFF"/>
        </w:rPr>
        <w:t>一般公共预算收入3187.90</w:t>
      </w:r>
      <w:r>
        <w:rPr>
          <w:rFonts w:hint="eastAsia" w:ascii="仿宋" w:hAnsi="仿宋" w:eastAsia="仿宋"/>
          <w:color w:val="000000"/>
          <w:sz w:val="32"/>
          <w:szCs w:val="32"/>
        </w:rPr>
        <w:t>万元；</w:t>
      </w:r>
    </w:p>
    <w:p w14:paraId="54403A57">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333333"/>
          <w:sz w:val="32"/>
          <w:szCs w:val="32"/>
          <w:shd w:val="clear" w:color="auto" w:fill="FFFFFF"/>
        </w:rPr>
        <w:t>政府性基金预算收入0</w:t>
      </w:r>
      <w:r>
        <w:rPr>
          <w:rFonts w:hint="eastAsia" w:ascii="仿宋" w:hAnsi="仿宋" w:eastAsia="仿宋"/>
          <w:color w:val="000000"/>
          <w:sz w:val="32"/>
          <w:szCs w:val="32"/>
        </w:rPr>
        <w:t>万元；</w:t>
      </w:r>
    </w:p>
    <w:p w14:paraId="50E156AC">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333333"/>
          <w:sz w:val="32"/>
          <w:szCs w:val="32"/>
          <w:shd w:val="clear" w:color="auto" w:fill="FFFFFF"/>
        </w:rPr>
        <w:t>国有资本经营预算收0</w:t>
      </w:r>
      <w:r>
        <w:rPr>
          <w:rFonts w:hint="eastAsia" w:ascii="仿宋" w:hAnsi="仿宋" w:eastAsia="仿宋"/>
          <w:color w:val="000000"/>
          <w:sz w:val="32"/>
          <w:szCs w:val="32"/>
        </w:rPr>
        <w:t>万元；</w:t>
      </w:r>
    </w:p>
    <w:p w14:paraId="7C440CA3">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333333"/>
          <w:sz w:val="32"/>
          <w:szCs w:val="32"/>
          <w:shd w:val="clear" w:color="auto" w:fill="FFFFFF"/>
        </w:rPr>
        <w:t>财政专户管理资金收入0万元</w:t>
      </w:r>
      <w:r>
        <w:rPr>
          <w:rFonts w:hint="eastAsia" w:ascii="仿宋" w:hAnsi="仿宋" w:eastAsia="仿宋"/>
          <w:color w:val="000000"/>
          <w:sz w:val="32"/>
          <w:szCs w:val="32"/>
        </w:rPr>
        <w:t>；</w:t>
      </w:r>
    </w:p>
    <w:p w14:paraId="762C907F">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333333"/>
          <w:sz w:val="32"/>
          <w:szCs w:val="32"/>
          <w:shd w:val="clear" w:color="auto" w:fill="FFFFFF"/>
        </w:rPr>
        <w:t>事业收入0</w:t>
      </w:r>
      <w:r>
        <w:rPr>
          <w:rFonts w:hint="eastAsia" w:ascii="仿宋" w:hAnsi="仿宋" w:eastAsia="仿宋"/>
          <w:color w:val="000000"/>
          <w:sz w:val="32"/>
          <w:szCs w:val="32"/>
        </w:rPr>
        <w:t>万元。</w:t>
      </w:r>
    </w:p>
    <w:p w14:paraId="468739EC">
      <w:pPr>
        <w:pStyle w:val="9"/>
        <w:shd w:val="clear" w:color="auto" w:fill="FFFFFF"/>
        <w:spacing w:before="0" w:beforeAutospacing="0" w:after="0" w:afterAutospacing="0"/>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6.事业单位经营收入0万元；</w:t>
      </w:r>
    </w:p>
    <w:p w14:paraId="3FA921BD">
      <w:pPr>
        <w:pStyle w:val="9"/>
        <w:shd w:val="clear" w:color="auto" w:fill="FFFFFF"/>
        <w:spacing w:before="0" w:beforeAutospacing="0" w:after="0" w:afterAutospacing="0"/>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7.上级补助收入0万元；</w:t>
      </w:r>
    </w:p>
    <w:p w14:paraId="19F41D96">
      <w:pPr>
        <w:pStyle w:val="9"/>
        <w:shd w:val="clear" w:color="auto" w:fill="FFFFFF"/>
        <w:spacing w:before="0" w:beforeAutospacing="0" w:after="0" w:afterAutospacing="0"/>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8.附属单位上缴收入0万元；</w:t>
      </w:r>
    </w:p>
    <w:p w14:paraId="4BD940AC">
      <w:pPr>
        <w:pStyle w:val="9"/>
        <w:shd w:val="clear" w:color="auto" w:fill="FFFFFF"/>
        <w:spacing w:before="0" w:beforeAutospacing="0" w:after="0" w:afterAutospacing="0"/>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9.其他收入0万元；</w:t>
      </w:r>
    </w:p>
    <w:p w14:paraId="6B9A96D9">
      <w:pPr>
        <w:pStyle w:val="9"/>
        <w:shd w:val="clear" w:color="auto" w:fill="FFFFFF"/>
        <w:spacing w:before="0" w:beforeAutospacing="0" w:after="0" w:afterAutospacing="0"/>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10.上年结转0万元。</w:t>
      </w:r>
    </w:p>
    <w:p w14:paraId="2008E55C">
      <w:pPr>
        <w:spacing w:beforeAutospacing="0" w:afterAutospacing="0" w:line="360" w:lineRule="auto"/>
        <w:ind w:firstLine="624" w:firstLineChars="195"/>
        <w:rPr>
          <w:rFonts w:hint="eastAsia" w:ascii="楷体" w:hAnsi="楷体" w:eastAsia="楷体"/>
          <w:color w:val="000000"/>
          <w:sz w:val="32"/>
        </w:rPr>
      </w:pPr>
      <w:r>
        <w:rPr>
          <w:rFonts w:hint="eastAsia" w:ascii="楷体" w:hAnsi="楷体" w:eastAsia="楷体"/>
          <w:color w:val="000000"/>
          <w:sz w:val="32"/>
        </w:rPr>
        <w:t>（二）支出预算</w:t>
      </w:r>
      <w:r>
        <w:rPr>
          <w:rFonts w:hint="eastAsia" w:ascii="楷体" w:hAnsi="楷体" w:eastAsia="楷体"/>
          <w:bCs/>
          <w:sz w:val="32"/>
          <w:szCs w:val="32"/>
        </w:rPr>
        <w:t>3187.90</w:t>
      </w:r>
      <w:r>
        <w:rPr>
          <w:rFonts w:hint="eastAsia" w:ascii="楷体" w:hAnsi="楷体" w:eastAsia="楷体"/>
          <w:color w:val="000000"/>
          <w:sz w:val="32"/>
        </w:rPr>
        <w:t>万元，包括：</w:t>
      </w:r>
    </w:p>
    <w:p w14:paraId="5EB6235F">
      <w:pPr>
        <w:spacing w:beforeAutospacing="0" w:afterAutospacing="0" w:line="360" w:lineRule="auto"/>
        <w:ind w:firstLine="624" w:firstLineChars="195"/>
        <w:rPr>
          <w:rFonts w:hint="eastAsia" w:ascii="仿宋" w:hAnsi="仿宋" w:eastAsia="仿宋"/>
          <w:color w:val="000000"/>
          <w:sz w:val="32"/>
        </w:rPr>
      </w:pPr>
      <w:r>
        <w:rPr>
          <w:rFonts w:hint="eastAsia" w:ascii="仿宋" w:hAnsi="仿宋" w:eastAsia="仿宋"/>
          <w:color w:val="000000"/>
          <w:sz w:val="32"/>
        </w:rPr>
        <w:t>1.基本支出</w:t>
      </w:r>
      <w:r>
        <w:rPr>
          <w:rFonts w:hint="eastAsia" w:ascii="仿宋" w:hAnsi="仿宋" w:eastAsia="仿宋"/>
          <w:color w:val="333333"/>
          <w:sz w:val="32"/>
          <w:szCs w:val="32"/>
          <w:shd w:val="clear" w:color="auto" w:fill="FFFFFF"/>
        </w:rPr>
        <w:t>3137.9</w:t>
      </w:r>
      <w:r>
        <w:rPr>
          <w:rFonts w:hint="eastAsia" w:ascii="仿宋" w:hAnsi="仿宋" w:eastAsia="仿宋"/>
          <w:color w:val="000000"/>
          <w:sz w:val="32"/>
        </w:rPr>
        <w:t>万元；</w:t>
      </w:r>
    </w:p>
    <w:p w14:paraId="49D121C8">
      <w:pPr>
        <w:spacing w:beforeAutospacing="0" w:afterAutospacing="0" w:line="360" w:lineRule="auto"/>
        <w:ind w:firstLine="624" w:firstLineChars="195"/>
        <w:rPr>
          <w:rFonts w:hint="eastAsia" w:ascii="仿宋" w:hAnsi="仿宋" w:eastAsia="仿宋"/>
          <w:color w:val="000000"/>
          <w:sz w:val="32"/>
        </w:rPr>
      </w:pPr>
      <w:r>
        <w:rPr>
          <w:rFonts w:hint="eastAsia" w:ascii="仿宋" w:hAnsi="仿宋" w:eastAsia="仿宋"/>
          <w:color w:val="000000"/>
          <w:sz w:val="32"/>
        </w:rPr>
        <w:t>2.项目支出</w:t>
      </w:r>
      <w:r>
        <w:rPr>
          <w:rFonts w:hint="eastAsia" w:ascii="仿宋" w:hAnsi="仿宋" w:eastAsia="仿宋"/>
          <w:color w:val="333333"/>
          <w:sz w:val="32"/>
          <w:szCs w:val="32"/>
          <w:shd w:val="clear" w:color="auto" w:fill="FFFFFF"/>
        </w:rPr>
        <w:t>50</w:t>
      </w:r>
      <w:r>
        <w:rPr>
          <w:rFonts w:hint="eastAsia" w:ascii="仿宋" w:hAnsi="仿宋" w:eastAsia="仿宋"/>
          <w:color w:val="000000"/>
          <w:sz w:val="32"/>
        </w:rPr>
        <w:t>万元。</w:t>
      </w:r>
    </w:p>
    <w:p w14:paraId="279E8D92">
      <w:pPr>
        <w:spacing w:beforeAutospacing="0" w:afterAutospacing="0" w:line="360" w:lineRule="auto"/>
        <w:ind w:firstLine="640" w:firstLineChars="200"/>
        <w:rPr>
          <w:rFonts w:hint="eastAsia" w:ascii="仿宋" w:hAnsi="仿宋" w:eastAsia="仿宋"/>
          <w:color w:val="000000"/>
          <w:sz w:val="32"/>
        </w:rPr>
      </w:pPr>
      <w:r>
        <w:rPr>
          <w:rFonts w:hint="eastAsia" w:ascii="仿宋" w:hAnsi="仿宋" w:eastAsia="仿宋"/>
          <w:color w:val="000000"/>
          <w:sz w:val="32"/>
        </w:rPr>
        <w:t>支出预算中，政府采购支出</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万元，政府购买服务支出</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万元，债务支出</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w:t>
      </w:r>
    </w:p>
    <w:p w14:paraId="121CF9A2">
      <w:pPr>
        <w:spacing w:beforeAutospacing="0" w:afterAutospacing="0" w:line="360" w:lineRule="auto"/>
        <w:ind w:firstLine="640" w:firstLineChars="200"/>
        <w:rPr>
          <w:rFonts w:hint="eastAsia" w:ascii="仿宋" w:hAnsi="仿宋" w:eastAsia="仿宋"/>
          <w:color w:val="000000"/>
          <w:sz w:val="32"/>
        </w:rPr>
      </w:pPr>
      <w:r>
        <w:rPr>
          <w:rFonts w:hint="eastAsia" w:ascii="仿宋" w:hAnsi="仿宋" w:eastAsia="仿宋"/>
          <w:color w:val="000000"/>
          <w:sz w:val="32"/>
        </w:rPr>
        <w:t>2023年预算同2022年比较，收入增加329.59</w:t>
      </w:r>
      <w:r>
        <w:rPr>
          <w:rFonts w:hint="eastAsia" w:ascii="仿宋" w:hAnsi="仿宋" w:eastAsia="仿宋"/>
          <w:color w:val="333333"/>
          <w:sz w:val="32"/>
          <w:szCs w:val="32"/>
          <w:shd w:val="clear" w:color="auto" w:fill="FFFFFF"/>
        </w:rPr>
        <w:t>万</w:t>
      </w:r>
      <w:r>
        <w:rPr>
          <w:rFonts w:hint="eastAsia" w:ascii="仿宋" w:hAnsi="仿宋" w:eastAsia="仿宋"/>
          <w:color w:val="000000"/>
          <w:sz w:val="32"/>
          <w:szCs w:val="32"/>
        </w:rPr>
        <w:t>元</w:t>
      </w:r>
      <w:r>
        <w:rPr>
          <w:rFonts w:hint="eastAsia" w:ascii="仿宋" w:hAnsi="仿宋" w:eastAsia="仿宋"/>
          <w:color w:val="000000"/>
          <w:sz w:val="32"/>
        </w:rPr>
        <w:t>，增长</w:t>
      </w:r>
      <w:r>
        <w:rPr>
          <w:rFonts w:hint="eastAsia" w:ascii="仿宋" w:hAnsi="仿宋" w:eastAsia="仿宋"/>
          <w:color w:val="333333"/>
          <w:sz w:val="32"/>
          <w:szCs w:val="32"/>
          <w:shd w:val="clear" w:color="auto" w:fill="FFFFFF"/>
        </w:rPr>
        <w:t>12</w:t>
      </w:r>
      <w:r>
        <w:rPr>
          <w:rFonts w:hint="eastAsia" w:ascii="仿宋" w:hAnsi="仿宋" w:eastAsia="仿宋"/>
          <w:color w:val="000000"/>
          <w:sz w:val="32"/>
          <w:szCs w:val="32"/>
        </w:rPr>
        <w:t>%</w:t>
      </w:r>
      <w:r>
        <w:rPr>
          <w:rFonts w:hint="eastAsia" w:ascii="仿宋" w:hAnsi="仿宋" w:eastAsia="仿宋"/>
          <w:color w:val="000000"/>
          <w:sz w:val="32"/>
        </w:rPr>
        <w:t>；增减变化主要原因是，有人员调动。所以工资性支出，保险费及人员经费都增加，人员工资、保险基数、公积金基数都 有所增加。</w:t>
      </w:r>
    </w:p>
    <w:p w14:paraId="72752483">
      <w:pPr>
        <w:spacing w:beforeAutospacing="0" w:afterAutospacing="0" w:line="360" w:lineRule="auto"/>
        <w:ind w:firstLine="964" w:firstLineChars="300"/>
        <w:rPr>
          <w:rFonts w:hint="eastAsia" w:ascii="黑体" w:hAnsi="黑体" w:eastAsia="黑体"/>
          <w:b/>
          <w:bCs/>
          <w:color w:val="000000"/>
          <w:sz w:val="32"/>
          <w:szCs w:val="32"/>
        </w:rPr>
      </w:pPr>
      <w:r>
        <w:rPr>
          <w:rFonts w:hint="eastAsia" w:ascii="黑体" w:hAnsi="黑体" w:eastAsia="黑体"/>
          <w:b/>
          <w:bCs/>
          <w:color w:val="000000"/>
          <w:sz w:val="32"/>
          <w:szCs w:val="32"/>
        </w:rPr>
        <w:t>二、“三公”经费预算安排使用情况说明</w:t>
      </w:r>
    </w:p>
    <w:p w14:paraId="502A3FBB">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2023年度“三公”经费预算支出安排</w:t>
      </w:r>
      <w:r>
        <w:rPr>
          <w:rFonts w:hint="eastAsia" w:ascii="仿宋" w:hAnsi="仿宋" w:eastAsia="仿宋" w:cs="仿宋"/>
          <w:color w:val="333333"/>
          <w:sz w:val="32"/>
          <w:szCs w:val="32"/>
          <w:shd w:val="clear" w:color="auto" w:fill="FFFFFF"/>
        </w:rPr>
        <w:t>2.5</w:t>
      </w:r>
      <w:r>
        <w:rPr>
          <w:rFonts w:hint="eastAsia" w:ascii="仿宋" w:hAnsi="仿宋" w:eastAsia="仿宋" w:cs="仿宋"/>
          <w:color w:val="000000"/>
          <w:sz w:val="32"/>
        </w:rPr>
        <w:t>万元，比2022年度增加2.5万元</w:t>
      </w:r>
      <w:r>
        <w:rPr>
          <w:rFonts w:hint="eastAsia" w:ascii="仿宋" w:hAnsi="仿宋" w:eastAsia="仿宋" w:cs="仿宋"/>
          <w:color w:val="000000"/>
          <w:sz w:val="32"/>
          <w:lang w:val="en-US" w:eastAsia="zh-CN"/>
        </w:rPr>
        <w:t>,</w:t>
      </w:r>
      <w:r>
        <w:rPr>
          <w:rFonts w:hint="eastAsia" w:ascii="仿宋" w:hAnsi="仿宋" w:eastAsia="仿宋" w:cs="仿宋"/>
          <w:color w:val="000000"/>
          <w:sz w:val="32"/>
        </w:rPr>
        <w:t>增长100%。其中：</w:t>
      </w:r>
    </w:p>
    <w:p w14:paraId="4E94FEED">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1.因公出国（境）费</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w:t>
      </w:r>
      <w:r>
        <w:rPr>
          <w:rFonts w:hint="eastAsia" w:ascii="仿宋" w:hAnsi="仿宋" w:eastAsia="仿宋" w:cs="仿宋"/>
          <w:color w:val="333333"/>
          <w:sz w:val="32"/>
          <w:szCs w:val="32"/>
          <w:shd w:val="clear" w:color="auto" w:fill="FFFFFF"/>
        </w:rPr>
        <w:t>与上年持平</w:t>
      </w:r>
      <w:r>
        <w:rPr>
          <w:rFonts w:hint="eastAsia" w:ascii="仿宋" w:hAnsi="仿宋" w:eastAsia="仿宋" w:cs="仿宋"/>
          <w:color w:val="000000"/>
          <w:sz w:val="32"/>
        </w:rPr>
        <w:t>。</w:t>
      </w:r>
    </w:p>
    <w:p w14:paraId="28C6E2B7">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2.公务接待费</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w:t>
      </w:r>
      <w:r>
        <w:rPr>
          <w:rFonts w:hint="eastAsia" w:ascii="仿宋" w:hAnsi="仿宋" w:eastAsia="仿宋" w:cs="仿宋"/>
          <w:color w:val="333333"/>
          <w:sz w:val="32"/>
          <w:szCs w:val="32"/>
          <w:shd w:val="clear" w:color="auto" w:fill="FFFFFF"/>
        </w:rPr>
        <w:t>与上年持平</w:t>
      </w:r>
      <w:r>
        <w:rPr>
          <w:rFonts w:hint="eastAsia" w:ascii="仿宋" w:hAnsi="仿宋" w:eastAsia="仿宋" w:cs="仿宋"/>
          <w:color w:val="000000"/>
          <w:sz w:val="32"/>
        </w:rPr>
        <w:t>。</w:t>
      </w:r>
    </w:p>
    <w:p w14:paraId="4D3643D7">
      <w:pPr>
        <w:spacing w:line="360" w:lineRule="auto"/>
        <w:ind w:firstLine="640" w:firstLineChars="200"/>
        <w:rPr>
          <w:rFonts w:hint="eastAsia" w:ascii="仿宋" w:hAnsi="仿宋" w:eastAsia="仿宋"/>
          <w:color w:val="000000"/>
          <w:sz w:val="32"/>
        </w:rPr>
      </w:pPr>
      <w:r>
        <w:rPr>
          <w:rFonts w:hint="eastAsia" w:ascii="仿宋" w:hAnsi="仿宋" w:eastAsia="仿宋" w:cs="仿宋"/>
          <w:color w:val="000000"/>
          <w:sz w:val="32"/>
        </w:rPr>
        <w:t>3.公务用车购置及运行费</w:t>
      </w:r>
      <w:r>
        <w:rPr>
          <w:rFonts w:hint="eastAsia" w:ascii="仿宋" w:hAnsi="仿宋" w:eastAsia="仿宋" w:cs="仿宋"/>
          <w:color w:val="333333"/>
          <w:sz w:val="32"/>
          <w:szCs w:val="32"/>
          <w:shd w:val="clear" w:color="auto" w:fill="FFFFFF"/>
        </w:rPr>
        <w:t>2.5</w:t>
      </w:r>
      <w:r>
        <w:rPr>
          <w:rFonts w:hint="eastAsia" w:ascii="仿宋" w:hAnsi="仿宋" w:eastAsia="仿宋" w:cs="仿宋"/>
          <w:color w:val="000000"/>
          <w:sz w:val="32"/>
        </w:rPr>
        <w:t>万元，</w:t>
      </w:r>
      <w:r>
        <w:rPr>
          <w:rFonts w:hint="eastAsia" w:ascii="仿宋" w:hAnsi="仿宋" w:eastAsia="仿宋" w:cs="仿宋"/>
          <w:color w:val="000000"/>
          <w:sz w:val="32"/>
          <w:szCs w:val="32"/>
          <w:lang w:bidi="ar"/>
        </w:rPr>
        <w:t>比2022年度增加2.5</w:t>
      </w:r>
      <w:r>
        <w:rPr>
          <w:rFonts w:hint="eastAsia" w:ascii="仿宋" w:hAnsi="仿宋" w:eastAsia="仿宋" w:cs="仿宋"/>
          <w:color w:val="333333"/>
          <w:sz w:val="32"/>
          <w:szCs w:val="32"/>
          <w:shd w:val="clear" w:color="auto" w:fill="FFFFFF"/>
        </w:rPr>
        <w:t>万元</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增长100%，主要原因是新购入防汛应急车辆（其中：</w:t>
      </w:r>
      <w:r>
        <w:rPr>
          <w:rFonts w:hint="eastAsia" w:ascii="仿宋" w:hAnsi="仿宋" w:eastAsia="仿宋" w:cs="仿宋"/>
          <w:color w:val="000000"/>
          <w:sz w:val="32"/>
        </w:rPr>
        <w:t>公务用车购置费</w:t>
      </w:r>
      <w:r>
        <w:rPr>
          <w:rFonts w:hint="eastAsia" w:ascii="仿宋" w:hAnsi="仿宋" w:eastAsia="仿宋" w:cs="仿宋"/>
          <w:color w:val="333333"/>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333333"/>
          <w:sz w:val="32"/>
          <w:szCs w:val="32"/>
          <w:shd w:val="clear" w:color="auto" w:fill="FFFFFF"/>
        </w:rPr>
        <w:t>与上年</w:t>
      </w:r>
      <w:r>
        <w:rPr>
          <w:rFonts w:hint="eastAsia" w:ascii="仿宋" w:hAnsi="仿宋" w:eastAsia="仿宋" w:cs="仿宋"/>
          <w:color w:val="333333"/>
          <w:sz w:val="32"/>
          <w:szCs w:val="32"/>
          <w:shd w:val="clear" w:color="auto" w:fill="FFFFFF"/>
          <w:lang w:eastAsia="zh-CN"/>
        </w:rPr>
        <w:t>持平</w:t>
      </w:r>
      <w:r>
        <w:rPr>
          <w:rFonts w:hint="eastAsia" w:ascii="仿宋" w:hAnsi="仿宋" w:eastAsia="仿宋" w:cs="仿宋"/>
          <w:color w:val="333333"/>
          <w:sz w:val="32"/>
          <w:szCs w:val="32"/>
          <w:shd w:val="clear" w:color="auto" w:fill="FFFFFF"/>
        </w:rPr>
        <w:t>；</w:t>
      </w:r>
      <w:r>
        <w:rPr>
          <w:rFonts w:hint="eastAsia" w:ascii="仿宋" w:hAnsi="仿宋" w:eastAsia="仿宋" w:cs="仿宋"/>
          <w:color w:val="000000"/>
          <w:sz w:val="32"/>
        </w:rPr>
        <w:t>公务用车运行费</w:t>
      </w:r>
      <w:r>
        <w:rPr>
          <w:rFonts w:hint="eastAsia" w:ascii="仿宋" w:hAnsi="仿宋" w:eastAsia="仿宋" w:cs="仿宋"/>
          <w:color w:val="000000"/>
          <w:sz w:val="32"/>
          <w:szCs w:val="32"/>
          <w:lang w:bidi="ar"/>
        </w:rPr>
        <w:t>2.5</w:t>
      </w:r>
      <w:r>
        <w:rPr>
          <w:rFonts w:hint="eastAsia" w:ascii="仿宋" w:hAnsi="仿宋" w:eastAsia="仿宋" w:cs="仿宋"/>
          <w:color w:val="333333"/>
          <w:sz w:val="32"/>
          <w:szCs w:val="32"/>
          <w:shd w:val="clear" w:color="auto" w:fill="FFFFFF"/>
        </w:rPr>
        <w:t>万元</w:t>
      </w:r>
      <w:bookmarkStart w:id="1" w:name="_GoBack"/>
      <w:r>
        <w:rPr>
          <w:rFonts w:hint="eastAsia" w:ascii="仿宋" w:hAnsi="仿宋" w:eastAsia="仿宋" w:cs="仿宋"/>
          <w:color w:val="333333"/>
          <w:sz w:val="32"/>
          <w:szCs w:val="32"/>
          <w:shd w:val="clear" w:color="auto" w:fill="FFFFFF"/>
          <w:lang w:val="en-US" w:eastAsia="zh-CN"/>
        </w:rPr>
        <w:t>,</w:t>
      </w:r>
      <w:bookmarkEnd w:id="1"/>
      <w:r>
        <w:rPr>
          <w:rFonts w:hint="eastAsia" w:ascii="仿宋" w:hAnsi="仿宋" w:eastAsia="仿宋" w:cs="仿宋"/>
          <w:color w:val="333333"/>
          <w:sz w:val="32"/>
          <w:szCs w:val="32"/>
          <w:shd w:val="clear" w:color="auto" w:fill="FFFFFF"/>
        </w:rPr>
        <w:t>增长100%，主要原因是新购入防汛应急车辆）</w:t>
      </w:r>
      <w:r>
        <w:rPr>
          <w:rFonts w:hint="eastAsia" w:ascii="仿宋" w:hAnsi="仿宋" w:eastAsia="仿宋" w:cs="仿宋"/>
          <w:color w:val="000000"/>
          <w:sz w:val="32"/>
        </w:rPr>
        <w:t>。</w:t>
      </w:r>
    </w:p>
    <w:p w14:paraId="1A6B3103">
      <w:pPr>
        <w:spacing w:beforeAutospacing="0" w:afterAutospacing="0"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三、机关运行经费预算安排使用情况说明</w:t>
      </w:r>
    </w:p>
    <w:p w14:paraId="6763D78B">
      <w:pPr>
        <w:spacing w:beforeAutospacing="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2023年机关运行经费预算安排</w:t>
      </w:r>
      <w:r>
        <w:rPr>
          <w:rFonts w:hint="eastAsia" w:ascii="仿宋" w:hAnsi="仿宋" w:eastAsia="仿宋"/>
          <w:color w:val="333333"/>
          <w:sz w:val="32"/>
          <w:szCs w:val="32"/>
          <w:shd w:val="clear" w:color="auto" w:fill="FFFFFF"/>
        </w:rPr>
        <w:t>76.16</w:t>
      </w:r>
      <w:r>
        <w:rPr>
          <w:rFonts w:hint="eastAsia" w:ascii="仿宋" w:hAnsi="仿宋" w:eastAsia="仿宋"/>
          <w:color w:val="000000"/>
          <w:sz w:val="32"/>
          <w:szCs w:val="32"/>
        </w:rPr>
        <w:t>万元，比2022年预算减少0.46万元，减少</w:t>
      </w:r>
      <w:r>
        <w:rPr>
          <w:rFonts w:hint="eastAsia" w:ascii="仿宋" w:hAnsi="仿宋" w:eastAsia="仿宋"/>
          <w:color w:val="333333"/>
          <w:sz w:val="32"/>
          <w:szCs w:val="32"/>
          <w:shd w:val="clear" w:color="auto" w:fill="FFFFFF"/>
        </w:rPr>
        <w:t>0.6</w:t>
      </w:r>
      <w:r>
        <w:rPr>
          <w:rFonts w:hint="eastAsia" w:ascii="仿宋" w:hAnsi="仿宋" w:eastAsia="仿宋"/>
          <w:color w:val="000000"/>
          <w:sz w:val="32"/>
          <w:szCs w:val="32"/>
        </w:rPr>
        <w:t>%，主要原因是</w:t>
      </w:r>
      <w:r>
        <w:rPr>
          <w:rFonts w:hint="eastAsia" w:ascii="仿宋" w:hAnsi="仿宋" w:eastAsia="仿宋"/>
          <w:color w:val="000000"/>
          <w:sz w:val="32"/>
        </w:rPr>
        <w:t>缩减办公经费，主要包括：办公费</w:t>
      </w:r>
      <w:r>
        <w:rPr>
          <w:rFonts w:hint="eastAsia" w:ascii="仿宋" w:hAnsi="仿宋" w:eastAsia="仿宋"/>
          <w:color w:val="333333"/>
          <w:sz w:val="32"/>
          <w:szCs w:val="32"/>
          <w:shd w:val="clear" w:color="auto" w:fill="FFFFFF"/>
        </w:rPr>
        <w:t>90.86</w:t>
      </w:r>
      <w:r>
        <w:rPr>
          <w:rFonts w:hint="eastAsia" w:ascii="仿宋" w:hAnsi="仿宋" w:eastAsia="仿宋"/>
          <w:color w:val="000000"/>
          <w:sz w:val="32"/>
        </w:rPr>
        <w:t>万元、印刷费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万元、咨询费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万元、手续费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万元、水费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万元、电费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万元、邮电费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万元、办公取暖费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万元、物业管理费</w:t>
      </w:r>
      <w:r>
        <w:rPr>
          <w:rFonts w:hint="eastAsia" w:ascii="仿宋" w:hAnsi="仿宋" w:eastAsia="仿宋"/>
          <w:color w:val="333333"/>
          <w:sz w:val="32"/>
          <w:szCs w:val="32"/>
          <w:shd w:val="clear" w:color="auto" w:fill="FFFFFF"/>
        </w:rPr>
        <w:t>0万元、</w:t>
      </w:r>
      <w:r>
        <w:rPr>
          <w:rFonts w:hint="eastAsia" w:ascii="仿宋" w:hAnsi="仿宋" w:eastAsia="仿宋"/>
          <w:color w:val="000000"/>
          <w:sz w:val="32"/>
        </w:rPr>
        <w:t>差旅费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万元、维修费</w:t>
      </w:r>
      <w:r>
        <w:rPr>
          <w:rFonts w:hint="eastAsia" w:ascii="仿宋" w:hAnsi="仿宋" w:eastAsia="仿宋"/>
          <w:color w:val="333333"/>
          <w:sz w:val="32"/>
          <w:szCs w:val="32"/>
          <w:shd w:val="clear" w:color="auto" w:fill="FFFFFF"/>
        </w:rPr>
        <w:t>2</w:t>
      </w:r>
      <w:r>
        <w:rPr>
          <w:rFonts w:hint="eastAsia" w:ascii="仿宋" w:hAnsi="仿宋" w:eastAsia="仿宋"/>
          <w:color w:val="000000"/>
          <w:sz w:val="32"/>
        </w:rPr>
        <w:t>万元、租赁费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万元、会议费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万元、培训费</w:t>
      </w:r>
      <w:r>
        <w:rPr>
          <w:rFonts w:hint="eastAsia" w:ascii="仿宋" w:hAnsi="仿宋" w:eastAsia="仿宋"/>
          <w:color w:val="333333"/>
          <w:sz w:val="32"/>
          <w:szCs w:val="32"/>
          <w:shd w:val="clear" w:color="auto" w:fill="FFFFFF"/>
        </w:rPr>
        <w:t>0.50</w:t>
      </w:r>
      <w:r>
        <w:rPr>
          <w:rFonts w:hint="eastAsia" w:ascii="仿宋" w:hAnsi="仿宋" w:eastAsia="仿宋"/>
          <w:color w:val="000000"/>
          <w:sz w:val="32"/>
        </w:rPr>
        <w:t>万元、公务接待费</w:t>
      </w:r>
      <w:r>
        <w:rPr>
          <w:rFonts w:hint="eastAsia" w:ascii="仿宋" w:hAnsi="仿宋" w:eastAsia="仿宋"/>
          <w:color w:val="333333"/>
          <w:sz w:val="32"/>
          <w:szCs w:val="32"/>
          <w:shd w:val="clear" w:color="auto" w:fill="FFFFFF"/>
        </w:rPr>
        <w:t>0万元、</w:t>
      </w:r>
      <w:r>
        <w:rPr>
          <w:rFonts w:hint="eastAsia" w:ascii="仿宋" w:hAnsi="仿宋" w:eastAsia="仿宋"/>
          <w:color w:val="000000"/>
          <w:sz w:val="32"/>
        </w:rPr>
        <w:t>专用材料费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万元、劳务费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万元、委托业务费</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万元、工会经费</w:t>
      </w:r>
      <w:r>
        <w:rPr>
          <w:rFonts w:hint="eastAsia" w:ascii="仿宋" w:hAnsi="仿宋" w:eastAsia="仿宋"/>
          <w:color w:val="333333"/>
          <w:sz w:val="32"/>
          <w:szCs w:val="32"/>
          <w:shd w:val="clear" w:color="auto" w:fill="FFFFFF"/>
        </w:rPr>
        <w:t>0万元、</w:t>
      </w:r>
      <w:r>
        <w:rPr>
          <w:rFonts w:hint="eastAsia" w:ascii="仿宋" w:hAnsi="仿宋" w:eastAsia="仿宋"/>
          <w:color w:val="000000"/>
          <w:sz w:val="32"/>
        </w:rPr>
        <w:t>公务用车运行维护费</w:t>
      </w:r>
      <w:r>
        <w:rPr>
          <w:rFonts w:hint="eastAsia" w:ascii="仿宋" w:hAnsi="仿宋" w:eastAsia="仿宋"/>
          <w:color w:val="333333"/>
          <w:sz w:val="32"/>
          <w:szCs w:val="32"/>
          <w:shd w:val="clear" w:color="auto" w:fill="FFFFFF"/>
        </w:rPr>
        <w:t>2.50</w:t>
      </w:r>
      <w:r>
        <w:rPr>
          <w:rFonts w:hint="eastAsia" w:ascii="仿宋" w:hAnsi="仿宋" w:eastAsia="仿宋"/>
          <w:color w:val="000000"/>
          <w:sz w:val="32"/>
        </w:rPr>
        <w:t>万元、其他交通费用</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万元、其他商品和服务支出</w:t>
      </w:r>
      <w:r>
        <w:rPr>
          <w:rFonts w:hint="eastAsia" w:ascii="仿宋" w:hAnsi="仿宋" w:eastAsia="仿宋"/>
          <w:color w:val="333333"/>
          <w:sz w:val="32"/>
          <w:szCs w:val="32"/>
          <w:shd w:val="clear" w:color="auto" w:fill="FFFFFF"/>
        </w:rPr>
        <w:t>0.3万元</w:t>
      </w:r>
      <w:r>
        <w:rPr>
          <w:rFonts w:hint="eastAsia" w:ascii="仿宋" w:hAnsi="仿宋" w:eastAsia="仿宋"/>
          <w:color w:val="000000"/>
          <w:sz w:val="32"/>
        </w:rPr>
        <w:t>。</w:t>
      </w:r>
    </w:p>
    <w:p w14:paraId="785EC31E">
      <w:pPr>
        <w:spacing w:beforeAutospacing="0" w:afterAutospacing="0"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四、政府采购安排情况说明</w:t>
      </w:r>
    </w:p>
    <w:p w14:paraId="5E11A94F">
      <w:pPr>
        <w:spacing w:beforeAutospacing="0" w:afterAutospacing="0" w:line="360" w:lineRule="auto"/>
        <w:ind w:firstLine="624" w:firstLineChars="195"/>
        <w:rPr>
          <w:rFonts w:hint="eastAsia" w:ascii="仿宋" w:hAnsi="仿宋" w:eastAsia="仿宋"/>
          <w:color w:val="000000"/>
          <w:sz w:val="32"/>
        </w:rPr>
      </w:pPr>
      <w:r>
        <w:rPr>
          <w:rFonts w:hint="eastAsia" w:ascii="仿宋" w:hAnsi="仿宋" w:eastAsia="仿宋"/>
          <w:color w:val="000000"/>
          <w:sz w:val="32"/>
        </w:rPr>
        <w:t>2023年安排政府采购预算</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万元，政府购买服务预算</w:t>
      </w:r>
      <w:r>
        <w:rPr>
          <w:rFonts w:hint="eastAsia" w:ascii="仿宋" w:hAnsi="仿宋" w:eastAsia="仿宋"/>
          <w:color w:val="333333"/>
          <w:sz w:val="32"/>
          <w:szCs w:val="32"/>
          <w:shd w:val="clear" w:color="auto" w:fill="FFFFFF"/>
        </w:rPr>
        <w:t>0</w:t>
      </w:r>
      <w:r>
        <w:rPr>
          <w:rFonts w:hint="eastAsia" w:ascii="仿宋" w:hAnsi="仿宋" w:eastAsia="仿宋"/>
          <w:color w:val="000000"/>
          <w:sz w:val="32"/>
        </w:rPr>
        <w:t>万元。</w:t>
      </w:r>
    </w:p>
    <w:p w14:paraId="3352984E">
      <w:pPr>
        <w:spacing w:beforeAutospacing="0" w:afterAutospacing="0" w:line="360" w:lineRule="auto"/>
        <w:ind w:firstLine="640" w:firstLineChars="0"/>
        <w:rPr>
          <w:rFonts w:hint="eastAsia" w:ascii="黑体" w:hAnsi="黑体" w:eastAsia="黑体"/>
          <w:b/>
          <w:bCs/>
          <w:color w:val="000000"/>
          <w:sz w:val="32"/>
          <w:szCs w:val="32"/>
        </w:rPr>
      </w:pPr>
    </w:p>
    <w:p w14:paraId="2E5C025D">
      <w:pPr>
        <w:spacing w:beforeAutospacing="0" w:afterAutospacing="0"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五、国有资产占用情况说明</w:t>
      </w:r>
    </w:p>
    <w:p w14:paraId="60CB53FE">
      <w:pPr>
        <w:ind w:firstLine="640" w:firstLineChars="200"/>
        <w:rPr>
          <w:rFonts w:hint="eastAsia" w:ascii="仿宋" w:hAnsi="仿宋" w:eastAsia="仿宋"/>
          <w:color w:val="000000"/>
          <w:sz w:val="32"/>
        </w:rPr>
      </w:pPr>
      <w:r>
        <w:rPr>
          <w:rFonts w:hint="eastAsia" w:ascii="仿宋" w:hAnsi="仿宋" w:eastAsia="仿宋"/>
          <w:color w:val="000000"/>
          <w:sz w:val="32"/>
        </w:rPr>
        <w:t>截至2022年12月31日，盘锦市大洼区</w:t>
      </w:r>
      <w:r>
        <w:rPr>
          <w:rFonts w:hint="eastAsia" w:ascii="仿宋" w:hAnsi="仿宋" w:eastAsia="仿宋"/>
          <w:bCs/>
          <w:sz w:val="32"/>
          <w:szCs w:val="32"/>
        </w:rPr>
        <w:t>水利局</w:t>
      </w:r>
      <w:r>
        <w:rPr>
          <w:rFonts w:hint="eastAsia" w:ascii="仿宋" w:hAnsi="仿宋" w:eastAsia="仿宋"/>
          <w:color w:val="000000"/>
          <w:sz w:val="32"/>
          <w:szCs w:val="32"/>
        </w:rPr>
        <w:t>资产总额</w:t>
      </w:r>
      <w:r>
        <w:rPr>
          <w:rFonts w:hint="eastAsia" w:ascii="仿宋" w:hAnsi="仿宋" w:eastAsia="仿宋"/>
          <w:bCs/>
          <w:sz w:val="32"/>
          <w:szCs w:val="32"/>
        </w:rPr>
        <w:t>678658409.95万</w:t>
      </w:r>
      <w:r>
        <w:rPr>
          <w:rFonts w:hint="eastAsia" w:ascii="仿宋" w:hAnsi="仿宋" w:eastAsia="仿宋"/>
          <w:color w:val="000000"/>
          <w:sz w:val="32"/>
          <w:szCs w:val="32"/>
        </w:rPr>
        <w:t>元，其中，</w:t>
      </w:r>
      <w:r>
        <w:rPr>
          <w:rFonts w:hint="eastAsia" w:ascii="仿宋" w:hAnsi="仿宋" w:eastAsia="仿宋"/>
          <w:color w:val="000000"/>
          <w:sz w:val="32"/>
        </w:rPr>
        <w:t>流动资产</w:t>
      </w:r>
      <w:r>
        <w:rPr>
          <w:rFonts w:hint="eastAsia" w:ascii="仿宋" w:hAnsi="仿宋" w:eastAsia="仿宋"/>
          <w:bCs/>
          <w:sz w:val="32"/>
          <w:szCs w:val="32"/>
        </w:rPr>
        <w:t>10316077.64万</w:t>
      </w:r>
      <w:r>
        <w:rPr>
          <w:rFonts w:hint="eastAsia" w:ascii="仿宋" w:hAnsi="仿宋" w:eastAsia="仿宋"/>
          <w:color w:val="000000"/>
          <w:sz w:val="32"/>
        </w:rPr>
        <w:t>元，</w:t>
      </w:r>
      <w:r>
        <w:rPr>
          <w:rFonts w:hint="eastAsia" w:ascii="仿宋" w:hAnsi="仿宋" w:eastAsia="仿宋"/>
          <w:color w:val="000000"/>
          <w:sz w:val="32"/>
          <w:szCs w:val="32"/>
        </w:rPr>
        <w:t>固定资产</w:t>
      </w:r>
      <w:r>
        <w:rPr>
          <w:rFonts w:hint="eastAsia" w:ascii="仿宋" w:hAnsi="仿宋" w:eastAsia="仿宋"/>
          <w:bCs/>
          <w:sz w:val="32"/>
          <w:szCs w:val="32"/>
        </w:rPr>
        <w:t>568297206.31万</w:t>
      </w:r>
      <w:r>
        <w:rPr>
          <w:rFonts w:hint="eastAsia" w:ascii="仿宋" w:hAnsi="仿宋" w:eastAsia="仿宋"/>
          <w:color w:val="000000"/>
          <w:sz w:val="32"/>
          <w:szCs w:val="32"/>
        </w:rPr>
        <w:t>元。固定资产中共有车辆5辆（一般公务用车1辆，其他用车</w:t>
      </w:r>
      <w:r>
        <w:rPr>
          <w:rFonts w:hint="eastAsia" w:ascii="仿宋" w:hAnsi="仿宋" w:eastAsia="仿宋"/>
          <w:bCs/>
          <w:sz w:val="32"/>
          <w:szCs w:val="32"/>
        </w:rPr>
        <w:t>4</w:t>
      </w:r>
      <w:r>
        <w:rPr>
          <w:rFonts w:hint="eastAsia" w:ascii="仿宋" w:hAnsi="仿宋" w:eastAsia="仿宋"/>
          <w:color w:val="000000"/>
          <w:sz w:val="32"/>
          <w:szCs w:val="32"/>
        </w:rPr>
        <w:t>辆），价值921471元。</w:t>
      </w:r>
    </w:p>
    <w:p w14:paraId="64BC7060">
      <w:pPr>
        <w:spacing w:beforeAutospacing="0" w:afterAutospacing="0" w:line="540" w:lineRule="exact"/>
        <w:ind w:firstLine="640" w:firstLineChars="200"/>
        <w:rPr>
          <w:rFonts w:hint="eastAsia" w:ascii="黑体" w:hAnsi="黑体" w:eastAsia="黑体"/>
          <w:color w:val="000000"/>
          <w:sz w:val="32"/>
        </w:rPr>
      </w:pPr>
      <w:r>
        <w:rPr>
          <w:rFonts w:hint="eastAsia" w:ascii="黑体" w:hAnsi="黑体" w:eastAsia="黑体"/>
          <w:color w:val="000000"/>
          <w:sz w:val="32"/>
        </w:rPr>
        <w:t>六、部门预算绩效目标情况说明</w:t>
      </w:r>
    </w:p>
    <w:p w14:paraId="631A62A4">
      <w:pPr>
        <w:spacing w:beforeAutospacing="0" w:afterAutospacing="0" w:line="540" w:lineRule="exact"/>
        <w:ind w:firstLine="640" w:firstLineChars="200"/>
        <w:rPr>
          <w:rFonts w:hint="eastAsia" w:ascii="仿宋" w:hAnsi="仿宋" w:eastAsia="仿宋"/>
          <w:color w:val="000000"/>
          <w:sz w:val="32"/>
        </w:rPr>
      </w:pPr>
      <w:r>
        <w:rPr>
          <w:rFonts w:hint="eastAsia" w:ascii="仿宋" w:hAnsi="仿宋" w:eastAsia="仿宋"/>
          <w:color w:val="000000"/>
          <w:sz w:val="32"/>
        </w:rPr>
        <w:t>盘锦市大洼区</w:t>
      </w:r>
      <w:r>
        <w:rPr>
          <w:rFonts w:hint="eastAsia" w:ascii="仿宋" w:hAnsi="仿宋" w:eastAsia="仿宋"/>
          <w:bCs/>
          <w:sz w:val="32"/>
          <w:szCs w:val="32"/>
        </w:rPr>
        <w:t>水利局</w:t>
      </w:r>
      <w:r>
        <w:rPr>
          <w:rFonts w:hint="eastAsia" w:ascii="仿宋" w:hAnsi="仿宋" w:eastAsia="仿宋"/>
          <w:color w:val="000000"/>
          <w:sz w:val="32"/>
        </w:rPr>
        <w:t>2023年部门整体绩效目标</w:t>
      </w:r>
      <w:r>
        <w:rPr>
          <w:rFonts w:hint="eastAsia" w:ascii="仿宋" w:hAnsi="仿宋" w:eastAsia="仿宋"/>
          <w:bCs/>
          <w:sz w:val="32"/>
          <w:szCs w:val="32"/>
          <w:lang w:val="en-US" w:eastAsia="zh-CN"/>
        </w:rPr>
        <w:t>3187.90</w:t>
      </w:r>
      <w:r>
        <w:rPr>
          <w:rFonts w:hint="eastAsia" w:ascii="仿宋" w:hAnsi="仿宋" w:eastAsia="仿宋"/>
          <w:bCs/>
          <w:sz w:val="32"/>
          <w:szCs w:val="32"/>
        </w:rPr>
        <w:t>万元，其中基本支出</w:t>
      </w:r>
      <w:r>
        <w:rPr>
          <w:rFonts w:hint="eastAsia" w:ascii="仿宋" w:hAnsi="仿宋" w:eastAsia="仿宋"/>
          <w:bCs/>
          <w:sz w:val="32"/>
          <w:szCs w:val="32"/>
          <w:lang w:val="en-US" w:eastAsia="zh-CN"/>
        </w:rPr>
        <w:t>3137.90</w:t>
      </w:r>
      <w:r>
        <w:rPr>
          <w:rFonts w:hint="eastAsia" w:ascii="仿宋" w:hAnsi="仿宋" w:eastAsia="仿宋"/>
          <w:bCs/>
          <w:sz w:val="32"/>
          <w:szCs w:val="32"/>
        </w:rPr>
        <w:t>万元，项目支出50万元</w:t>
      </w:r>
      <w:r>
        <w:rPr>
          <w:rFonts w:hint="eastAsia" w:ascii="仿宋" w:hAnsi="仿宋" w:eastAsia="仿宋"/>
          <w:color w:val="000000"/>
          <w:sz w:val="32"/>
        </w:rPr>
        <w:t>。2023年应编制部门预算项目（政策）绩效目标的项目共</w:t>
      </w:r>
      <w:r>
        <w:rPr>
          <w:rFonts w:hint="eastAsia" w:ascii="仿宋" w:hAnsi="仿宋" w:eastAsia="仿宋"/>
          <w:bCs/>
          <w:sz w:val="32"/>
          <w:szCs w:val="32"/>
        </w:rPr>
        <w:t>1</w:t>
      </w:r>
      <w:r>
        <w:rPr>
          <w:rFonts w:hint="eastAsia" w:ascii="仿宋" w:hAnsi="仿宋" w:eastAsia="仿宋"/>
          <w:color w:val="000000"/>
          <w:sz w:val="32"/>
        </w:rPr>
        <w:t>个，实际编制</w:t>
      </w:r>
      <w:r>
        <w:rPr>
          <w:rFonts w:hint="eastAsia" w:ascii="仿宋" w:hAnsi="仿宋" w:eastAsia="仿宋"/>
          <w:bCs/>
          <w:sz w:val="32"/>
          <w:szCs w:val="32"/>
        </w:rPr>
        <w:t>1</w:t>
      </w:r>
      <w:r>
        <w:rPr>
          <w:rFonts w:hint="eastAsia" w:ascii="仿宋" w:hAnsi="仿宋" w:eastAsia="仿宋"/>
          <w:color w:val="000000"/>
          <w:sz w:val="32"/>
        </w:rPr>
        <w:t>个，涉及资金</w:t>
      </w:r>
      <w:r>
        <w:rPr>
          <w:rFonts w:hint="eastAsia" w:ascii="仿宋" w:hAnsi="仿宋" w:eastAsia="仿宋"/>
          <w:bCs/>
          <w:sz w:val="32"/>
          <w:szCs w:val="32"/>
        </w:rPr>
        <w:t>50</w:t>
      </w:r>
      <w:r>
        <w:rPr>
          <w:rFonts w:hint="eastAsia" w:ascii="仿宋" w:hAnsi="仿宋" w:eastAsia="仿宋"/>
          <w:color w:val="000000"/>
          <w:sz w:val="32"/>
        </w:rPr>
        <w:t>万元。</w:t>
      </w:r>
    </w:p>
    <w:p w14:paraId="68696DA4">
      <w:pPr>
        <w:spacing w:beforeAutospacing="0" w:afterAutospacing="0" w:line="540" w:lineRule="exact"/>
        <w:ind w:firstLine="640" w:firstLineChars="200"/>
        <w:rPr>
          <w:rFonts w:hint="eastAsia" w:ascii="仿宋" w:hAnsi="仿宋" w:eastAsia="仿宋"/>
          <w:color w:val="000000"/>
          <w:sz w:val="32"/>
        </w:rPr>
      </w:pPr>
    </w:p>
    <w:p w14:paraId="72EA6F3A">
      <w:pPr>
        <w:numPr>
          <w:ilvl w:val="0"/>
          <w:numId w:val="4"/>
        </w:numPr>
        <w:spacing w:beforeAutospacing="0" w:afterAutospacing="0" w:line="360" w:lineRule="auto"/>
        <w:jc w:val="center"/>
        <w:rPr>
          <w:rFonts w:hint="eastAsia" w:ascii="宋体" w:hAnsi="宋体"/>
          <w:b/>
          <w:bCs/>
          <w:color w:val="000000"/>
          <w:sz w:val="44"/>
          <w:szCs w:val="44"/>
        </w:rPr>
      </w:pPr>
      <w:r>
        <w:rPr>
          <w:rFonts w:hint="eastAsia" w:ascii="宋体" w:hAnsi="宋体"/>
          <w:b/>
          <w:bCs/>
          <w:color w:val="000000"/>
          <w:sz w:val="44"/>
          <w:szCs w:val="44"/>
        </w:rPr>
        <w:t>分  名词解释</w:t>
      </w:r>
    </w:p>
    <w:p w14:paraId="06A66EA6">
      <w:pPr>
        <w:spacing w:beforeAutospacing="0" w:afterAutospacing="0" w:line="480" w:lineRule="auto"/>
        <w:rPr>
          <w:rFonts w:hint="eastAsia" w:ascii="仿宋" w:hAnsi="仿宋" w:eastAsia="仿宋"/>
          <w:b/>
          <w:bCs/>
          <w:color w:val="000000"/>
          <w:sz w:val="30"/>
          <w:szCs w:val="30"/>
        </w:rPr>
      </w:pPr>
    </w:p>
    <w:p w14:paraId="0C704CE9">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1.财政拨款收入：指区级财政当年拨付的资金。</w:t>
      </w:r>
    </w:p>
    <w:p w14:paraId="08F200CE">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2.基本支出：指保障机构正常运转、完成日常工作任务而发生的人员支出和公用支出。</w:t>
      </w:r>
    </w:p>
    <w:p w14:paraId="3685CE0D">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3.项目支出：指在基本支出之外为完成特定行政任务和事业发展目标所发生的支出。</w:t>
      </w:r>
    </w:p>
    <w:p w14:paraId="7D1522B9">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35AEAB8E">
      <w:pPr>
        <w:spacing w:beforeAutospacing="0" w:afterAutospacing="0" w:line="540" w:lineRule="exact"/>
        <w:ind w:firstLine="320" w:firstLineChars="100"/>
        <w:rPr>
          <w:rFonts w:hint="eastAsia" w:ascii="仿宋" w:hAnsi="仿宋" w:eastAsia="仿宋"/>
          <w:bCs/>
          <w:color w:val="000000"/>
          <w:sz w:val="32"/>
          <w:szCs w:val="32"/>
        </w:rPr>
      </w:pPr>
      <w:r>
        <w:rPr>
          <w:rFonts w:hint="eastAsia" w:ascii="仿宋" w:hAnsi="仿宋" w:eastAsia="仿宋"/>
          <w:bCs/>
          <w:color w:val="000000"/>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2BDCA88">
      <w:pPr>
        <w:spacing w:beforeAutospacing="0" w:afterAutospacing="0" w:line="540" w:lineRule="exact"/>
        <w:rPr>
          <w:rFonts w:hint="eastAsia" w:ascii="仿宋" w:hAnsi="仿宋" w:eastAsia="仿宋"/>
          <w:bCs/>
          <w:color w:val="000000"/>
          <w:sz w:val="32"/>
          <w:szCs w:val="32"/>
        </w:rPr>
      </w:pPr>
      <w:r>
        <w:rPr>
          <w:rFonts w:hint="eastAsia" w:ascii="仿宋" w:hAnsi="仿宋" w:eastAsia="仿宋"/>
          <w:bCs/>
          <w:color w:val="000000"/>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6AB76A6">
      <w:pPr>
        <w:spacing w:beforeAutospacing="0" w:afterAutospacing="0" w:line="540" w:lineRule="exact"/>
        <w:rPr>
          <w:rFonts w:hint="eastAsia" w:ascii="仿宋" w:hAnsi="仿宋" w:eastAsia="仿宋"/>
          <w:bCs/>
          <w:color w:val="000000"/>
          <w:sz w:val="32"/>
          <w:szCs w:val="32"/>
        </w:rPr>
      </w:pPr>
      <w:r>
        <w:rPr>
          <w:rFonts w:hint="eastAsia" w:ascii="仿宋" w:hAnsi="仿宋" w:eastAsia="仿宋"/>
          <w:bCs/>
          <w:color w:val="000000"/>
          <w:sz w:val="32"/>
          <w:szCs w:val="32"/>
        </w:rPr>
        <w:t>　　7.其他收入：指除上述“财政拨款收入</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行政事业性收费收入</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政府性基金收入”以外的收入。</w:t>
      </w:r>
    </w:p>
    <w:p w14:paraId="2739E406">
      <w:pPr>
        <w:spacing w:beforeAutospacing="0" w:afterAutospacing="0" w:line="540" w:lineRule="exact"/>
        <w:rPr>
          <w:rFonts w:hint="eastAsia" w:ascii="仿宋" w:hAnsi="仿宋" w:eastAsia="仿宋"/>
          <w:bCs/>
          <w:color w:val="000000"/>
          <w:sz w:val="32"/>
          <w:szCs w:val="32"/>
        </w:rPr>
      </w:pPr>
      <w:r>
        <w:rPr>
          <w:rFonts w:hint="eastAsia" w:ascii="仿宋" w:hAnsi="仿宋" w:eastAsia="仿宋"/>
          <w:bCs/>
          <w:color w:val="000000"/>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24EE04D">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9.社会保障和就业（类）行政事业单位养老支出（款）行政单位离退休（项）：反映行政单位（包括实行公务员管理的事业单位）开支的离退休经费。</w:t>
      </w:r>
    </w:p>
    <w:p w14:paraId="1546A96B">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10.社会保障和就业（类）行政事业单位养老支出（款）事业单位离退休（项）：反映事业单位开支的离退休经费。</w:t>
      </w:r>
    </w:p>
    <w:p w14:paraId="4A0E4D62">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11.社会保障和就业（类）行政事业单位养老支出（款）机关事业单位基本养老保险缴费支出（项）：反映机关事业单位实施养老保险制度由单位缴纳的基本养老保险费支出。</w:t>
      </w:r>
    </w:p>
    <w:p w14:paraId="4F4D944B">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12.社会保障和就业（类）行政事业单位养老支出（款）机关事业单位职业年金缴费支出（项）：反映机关事业单位实施养老保险制度由单位实际缴纳的职业年金支出。</w:t>
      </w:r>
    </w:p>
    <w:p w14:paraId="41D218D5">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13.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A893309">
      <w:pPr>
        <w:spacing w:beforeAutospacing="0" w:afterAutospacing="0" w:line="540" w:lineRule="exact"/>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rPr>
        <w:t>14.卫生健康支出（类）行政事业单位医疗（款）事业单位医疗（项）：反映财政部门安排的事业单位基本医疗保险缴费经费，未参加医疗保险的事业单位的公费医疗经费，按国家规定享受离休人员待遇的医疗经费。</w:t>
      </w:r>
    </w:p>
    <w:p w14:paraId="5F333672">
      <w:pPr>
        <w:spacing w:beforeAutospacing="0" w:afterAutospacing="0"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15.住房保障（类）住房改革（款）住房公积金（项）：反映行政事业单位按人力资源和社会保障部、财政部规定的基本工资和津贴补贴以及规定比例为职工缴纳的住房公积金。</w:t>
      </w:r>
    </w:p>
    <w:sectPr>
      <w:footerReference r:id="rId4" w:type="default"/>
      <w:pgSz w:w="11906" w:h="16838"/>
      <w:pgMar w:top="1440" w:right="1310" w:bottom="1440" w:left="1310" w:header="851" w:footer="992" w:gutter="567"/>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B4404">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421F5F1">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p w14:paraId="6CB7F848"/>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bRAFC&#10;sAEAAHYDAAAOAAAAAAAAAAEAIAAAACIBAABkcnMvZTJvRG9jLnhtbFBLBQYAAAAABgAGAFkBAABE&#10;BQAAAAA=&#10;">
              <v:fill on="f" focussize="0,0"/>
              <v:stroke on="f"/>
              <v:imagedata o:title=""/>
              <o:lock v:ext="edit" aspectratio="f"/>
              <v:textbox inset="0mm,0mm,0mm,0mm">
                <w:txbxContent>
                  <w:p w14:paraId="5421F5F1">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p w14:paraId="6CB7F848"/>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B1E76">
    <w:pPr>
      <w:pStyle w:val="8"/>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abstractNum w:abstractNumId="1">
    <w:nsid w:val="41081911"/>
    <w:multiLevelType w:val="multilevel"/>
    <w:tmpl w:val="41081911"/>
    <w:lvl w:ilvl="0" w:tentative="0">
      <w:start w:val="1"/>
      <w:numFmt w:val="decimal"/>
      <w:lvlText w:val="一、"/>
      <w:lvlJc w:val="left"/>
      <w:pPr>
        <w:ind w:left="1429"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9F3ED07"/>
    <w:multiLevelType w:val="singleLevel"/>
    <w:tmpl w:val="59F3ED07"/>
    <w:lvl w:ilvl="0" w:tentative="0">
      <w:start w:val="3"/>
      <w:numFmt w:val="chineseCounting"/>
      <w:suff w:val="nothing"/>
      <w:lvlText w:val="第%1部"/>
      <w:lvlJc w:val="left"/>
    </w:lvl>
  </w:abstractNum>
  <w:abstractNum w:abstractNumId="3">
    <w:nsid w:val="5A0550FC"/>
    <w:multiLevelType w:val="singleLevel"/>
    <w:tmpl w:val="5A0550FC"/>
    <w:lvl w:ilvl="0" w:tentative="0">
      <w:start w:val="1"/>
      <w:numFmt w:val="chineseCounting"/>
      <w:suff w:val="nothing"/>
      <w:lvlText w:val="第%1部"/>
      <w:lvlJc w:val="left"/>
    </w:lvl>
  </w:abstractNum>
  <w:abstractNum w:abstractNumId="4">
    <w:nsid w:val="64B4190A"/>
    <w:multiLevelType w:val="multilevel"/>
    <w:tmpl w:val="64B4190A"/>
    <w:lvl w:ilvl="0" w:tentative="0">
      <w:start w:val="7"/>
      <w:numFmt w:val="decimal"/>
      <w:lvlText w:val="（%1）"/>
      <w:lvlJc w:val="left"/>
      <w:pPr>
        <w:ind w:left="1720" w:hanging="108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ZjM5ZGE3MGRmMzNmZTIxODU0NmZiZjljODMzZWIifQ=="/>
  </w:docVars>
  <w:rsids>
    <w:rsidRoot w:val="00000000"/>
    <w:rsid w:val="17797B1C"/>
    <w:rsid w:val="1973301A"/>
    <w:rsid w:val="224159A4"/>
    <w:rsid w:val="377E7A02"/>
    <w:rsid w:val="38982570"/>
    <w:rsid w:val="65876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宋体" w:hAnsi="宋体"/>
      <w:kern w:val="0"/>
      <w:sz w:val="24"/>
    </w:rPr>
  </w:style>
  <w:style w:type="character" w:customStyle="1" w:styleId="5">
    <w:name w:val="默认段落字体1"/>
    <w:link w:val="1"/>
    <w:semiHidden/>
    <w:qFormat/>
    <w:uiPriority w:val="0"/>
  </w:style>
  <w:style w:type="table" w:customStyle="1" w:styleId="6">
    <w:name w:val="普通表格1"/>
    <w:semiHidden/>
    <w:qFormat/>
    <w:uiPriority w:val="0"/>
    <w:pPr>
      <w:keepNext w:val="0"/>
      <w:keepLines w:val="0"/>
      <w:suppressLineNumbers w:val="0"/>
      <w:spacing w:before="0" w:beforeAutospacing="0" w:after="0" w:afterAutospacing="0"/>
      <w:ind w:left="0" w:right="0"/>
    </w:pPr>
    <w:rPr>
      <w:rFonts w:ascii="Times New Roman" w:hAnsi="Times New Roman" w:eastAsia="Times New Roman"/>
      <w:sz w:val="20"/>
      <w:szCs w:val="20"/>
    </w:rPr>
  </w:style>
  <w:style w:type="paragraph" w:customStyle="1" w:styleId="7">
    <w:name w:val="页脚1"/>
    <w:basedOn w:val="1"/>
    <w:qFormat/>
    <w:uiPriority w:val="0"/>
    <w:pPr>
      <w:tabs>
        <w:tab w:val="center" w:pos="4153"/>
        <w:tab w:val="right" w:pos="8306"/>
      </w:tabs>
      <w:snapToGrid w:val="0"/>
      <w:jc w:val="left"/>
    </w:pPr>
    <w:rPr>
      <w:sz w:val="18"/>
      <w:szCs w:val="18"/>
    </w:rPr>
  </w:style>
  <w:style w:type="paragraph" w:customStyle="1" w:styleId="8">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9">
    <w:name w:val="普通(网站)1"/>
    <w:basedOn w:val="1"/>
    <w:qFormat/>
    <w:uiPriority w:val="0"/>
    <w:pPr>
      <w:spacing w:before="100" w:beforeAutospacing="1" w:after="100" w:afterAutospacing="1"/>
      <w:ind w:left="0" w:right="0"/>
      <w:jc w:val="left"/>
    </w:pPr>
    <w:rPr>
      <w:kern w:val="0"/>
      <w:sz w:val="24"/>
      <w:lang w:val="en-US" w:eastAsia="zh-CN" w:bidi="ar"/>
    </w:rPr>
  </w:style>
  <w:style w:type="table" w:customStyle="1" w:styleId="10">
    <w:name w:val="网格型1"/>
    <w:basedOn w:val="6"/>
    <w:qFormat/>
    <w:uiPriority w:val="0"/>
    <w:pPr>
      <w:widowControl w:val="0"/>
      <w:jc w:val="both"/>
    </w:pPr>
  </w:style>
  <w:style w:type="character" w:customStyle="1" w:styleId="11">
    <w:name w:val="页码1"/>
    <w:basedOn w:val="5"/>
    <w:link w:val="1"/>
    <w:qFormat/>
    <w:uiPriority w:val="0"/>
  </w:style>
  <w:style w:type="character" w:customStyle="1" w:styleId="12">
    <w:name w:val="已访问的超链接1"/>
    <w:basedOn w:val="5"/>
    <w:link w:val="1"/>
    <w:qFormat/>
    <w:uiPriority w:val="0"/>
    <w:rPr>
      <w:color w:val="800080"/>
      <w:u w:val="none"/>
    </w:rPr>
  </w:style>
  <w:style w:type="character" w:customStyle="1" w:styleId="13">
    <w:name w:val="超链接1"/>
    <w:basedOn w:val="5"/>
    <w:link w:val="1"/>
    <w:qFormat/>
    <w:uiPriority w:val="0"/>
    <w:rPr>
      <w:color w:val="0000FF"/>
      <w:u w:val="none"/>
    </w:rPr>
  </w:style>
  <w:style w:type="paragraph" w:customStyle="1" w:styleId="14">
    <w:name w:val="p0"/>
    <w:basedOn w:val="1"/>
    <w:uiPriority w:val="0"/>
    <w:pPr>
      <w:snapToGrid w:val="0"/>
      <w:spacing w:beforeAutospacing="0" w:after="200" w:afterAutospacing="0"/>
      <w:jc w:val="left"/>
    </w:pPr>
    <w:rPr>
      <w:rFonts w:ascii="Tahoma" w:hAnsi="Tahoma"/>
      <w:kern w:val="0"/>
      <w:sz w:val="22"/>
      <w:szCs w:val="22"/>
    </w:rPr>
  </w:style>
  <w:style w:type="character" w:customStyle="1" w:styleId="15">
    <w:name w:val="要点1"/>
    <w:link w:val="1"/>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6307</Words>
  <Characters>6557</Characters>
  <Lines>0</Lines>
  <Paragraphs>0</Paragraphs>
  <TotalTime>1</TotalTime>
  <ScaleCrop>false</ScaleCrop>
  <LinksUpToDate>false</LinksUpToDate>
  <CharactersWithSpaces>7427</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2023-01-18T06:47:00Z</dcterms:created>
  <dc:creator>ld</dc:creator>
  <cp:lastModifiedBy>MYTH</cp:lastModifiedBy>
  <dcterms:modified xsi:type="dcterms:W3CDTF">2025-02-10T10:22:28Z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CB8ECEDB41954E33B2134C91DE9BE802_13</vt:lpwstr>
  </property>
  <property fmtid="{D5CDD505-2E9C-101B-9397-08002B2CF9AE}" pid="4" name="KSOTemplateDocerSaveRecord">
    <vt:lpwstr>eyJoZGlkIjoiMDYyZTRjNjY4ODA2MDE4OWQxYjI0ZWQ2ZDdiZmJmYWUiLCJ1c2VySWQiOiIzNTAxOTg5NjEifQ==</vt:lpwstr>
  </property>
</Properties>
</file>