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p>
    <w:p>
      <w:pPr>
        <w:spacing w:line="540" w:lineRule="exact"/>
        <w:jc w:val="center"/>
        <w:rPr>
          <w:rFonts w:ascii="宋体" w:hAnsi="宋体"/>
          <w:b/>
          <w:sz w:val="52"/>
          <w:szCs w:val="52"/>
        </w:rPr>
      </w:pPr>
      <w:r>
        <w:rPr>
          <w:rFonts w:hint="eastAsia" w:ascii="宋体" w:hAnsi="宋体"/>
          <w:b/>
          <w:sz w:val="52"/>
          <w:szCs w:val="52"/>
        </w:rPr>
        <w:t>盘锦市救助管理站</w:t>
      </w:r>
    </w:p>
    <w:p>
      <w:pPr>
        <w:spacing w:line="540" w:lineRule="exact"/>
        <w:jc w:val="center"/>
        <w:rPr>
          <w:rFonts w:ascii="宋体" w:hAnsi="宋体"/>
          <w:b/>
          <w:sz w:val="52"/>
          <w:szCs w:val="52"/>
        </w:rPr>
      </w:pPr>
      <w:r>
        <w:rPr>
          <w:rFonts w:hint="eastAsia" w:ascii="宋体" w:hAnsi="宋体"/>
          <w:b/>
          <w:sz w:val="52"/>
          <w:szCs w:val="52"/>
        </w:rPr>
        <w:t>2021年度决算公开说明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第一部分    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2021年度决算情况说明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第四部分    2021年度决算报表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jc w:val="center"/>
        <w:rPr>
          <w:rFonts w:ascii="黑体" w:hAnsi="黑体" w:eastAsia="黑体"/>
          <w:b/>
          <w:sz w:val="44"/>
          <w:szCs w:val="44"/>
          <w:u w:val="single"/>
        </w:rPr>
      </w:pPr>
    </w:p>
    <w:p>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盘锦市救助管理站主要负责对全市生活无着的流浪乞讨人员救助管理、医疗救治等工作;负责因务工不着、寻亲不遇等原因而陷入困境，自身无力解决食宿，已经或即将流落街头的各类生活无着人员提供临时救助;负责本市流出和外市流入的流浪乞讨人员的接收和护送工作;负责省际中转救助护送工作;负责全市困境未成年人的救助保护工作;负责遭受家庭暴力的妇女庇护、保护工作;负责遭受突发性自然灾害灾民的紧急避险接待等工作。</w:t>
      </w:r>
    </w:p>
    <w:p>
      <w:pPr>
        <w:spacing w:line="540" w:lineRule="exact"/>
        <w:ind w:firstLine="640" w:firstLineChars="200"/>
        <w:jc w:val="left"/>
        <w:rPr>
          <w:rFonts w:ascii="黑体" w:eastAsia="黑体"/>
          <w:sz w:val="32"/>
          <w:szCs w:val="32"/>
        </w:rPr>
      </w:pPr>
      <w:r>
        <w:rPr>
          <w:rFonts w:hint="eastAsia" w:ascii="黑体" w:eastAsia="黑体"/>
          <w:sz w:val="32"/>
          <w:szCs w:val="32"/>
        </w:rPr>
        <w:t>二、决算单位构成</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纳入盘锦市救助管理站2021年度决算编制范围的二级预算单位为盘锦市救助管理站。</w:t>
      </w:r>
    </w:p>
    <w:p>
      <w:pPr>
        <w:spacing w:line="540" w:lineRule="exact"/>
        <w:ind w:left="319" w:leftChars="152" w:firstLine="320" w:firstLineChars="100"/>
        <w:jc w:val="center"/>
        <w:rPr>
          <w:rFonts w:ascii="宋体" w:hAnsi="宋体"/>
          <w:b/>
          <w:sz w:val="36"/>
          <w:szCs w:val="36"/>
        </w:rPr>
      </w:pPr>
      <w:r>
        <w:rPr>
          <w:rFonts w:ascii="仿宋_GB2312" w:eastAsia="仿宋_GB2312"/>
          <w:sz w:val="32"/>
          <w:szCs w:val="32"/>
        </w:rPr>
        <w:br w:type="page"/>
      </w:r>
      <w:r>
        <w:rPr>
          <w:rFonts w:hint="eastAsia" w:ascii="宋体" w:hAnsi="宋体"/>
          <w:b/>
          <w:sz w:val="36"/>
          <w:szCs w:val="36"/>
        </w:rPr>
        <w:t>第二部分 2021年度决算情况说明</w:t>
      </w:r>
    </w:p>
    <w:p>
      <w:pPr>
        <w:spacing w:line="540" w:lineRule="exact"/>
        <w:rPr>
          <w:rFonts w:ascii="宋体" w:hAnsi="宋体"/>
          <w:b/>
          <w:sz w:val="36"/>
          <w:szCs w:val="36"/>
        </w:rPr>
      </w:pPr>
    </w:p>
    <w:p>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（一）收入总计456.3万元，包括：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1.财政拨款收入398.93万元，占收入总计的87%。其中：一般公共预算财政拨款收入382.70万元，政府性基金收入16.23万元，国有资本经营预算财政拨款收入0万元。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6.其他收入55万元，占收入总计的12%。主要是流浪乞讨人员救助业务费。</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8.上年结转和结余2.37万元，占收入总计的1%。主要是流浪乞讨人员救助业务费结转。</w:t>
      </w:r>
    </w:p>
    <w:p>
      <w:pPr>
        <w:ind w:firstLine="709"/>
        <w:rPr>
          <w:rFonts w:ascii="仿宋_GB2312" w:hAnsi="仿宋" w:eastAsia="仿宋_GB2312" w:cs="仿宋"/>
          <w:color w:val="000000"/>
          <w:sz w:val="32"/>
          <w:szCs w:val="32"/>
        </w:rPr>
      </w:pPr>
      <w:r>
        <w:rPr>
          <w:rFonts w:hint="eastAsia" w:ascii="仿宋_GB2312" w:hAnsi="宋体" w:eastAsia="仿宋_GB2312"/>
          <w:sz w:val="32"/>
          <w:szCs w:val="32"/>
        </w:rPr>
        <w:t>与上年相比，今年收入减少20.59万元，减少4%，主要原因：一是2021年4月人员减少1人；二是流浪乞讨人员救助补助支出减少</w:t>
      </w:r>
      <w:r>
        <w:rPr>
          <w:rFonts w:hint="eastAsia" w:ascii="仿宋_GB2312" w:hAnsi="仿宋" w:eastAsia="仿宋_GB2312" w:cs="仿宋"/>
          <w:color w:val="000000"/>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（二）支出总计453.67万元，包括：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1.基本支出360.26万元，占支出总计的79%。主要是为保障机构正常运转、完成日常工作任务而发生的各项支出，其中：工资福利支出284.49万元，对个人和家庭的补助支出7.69万元，商品和服务支出68.08万元。</w:t>
      </w:r>
    </w:p>
    <w:p>
      <w:pPr>
        <w:spacing w:line="540" w:lineRule="exact"/>
        <w:ind w:firstLine="660"/>
        <w:rPr>
          <w:rFonts w:ascii="仿宋_GB2312" w:hAnsi="仿宋" w:eastAsia="仿宋_GB2312"/>
          <w:sz w:val="32"/>
          <w:szCs w:val="32"/>
        </w:rPr>
      </w:pPr>
      <w:r>
        <w:rPr>
          <w:rFonts w:hint="eastAsia" w:ascii="仿宋_GB2312" w:hAnsi="宋体" w:eastAsia="仿宋_GB2312"/>
          <w:sz w:val="32"/>
          <w:szCs w:val="32"/>
        </w:rPr>
        <w:t>2.项目支出93.41万元，占支出总计的2%。主要包括</w:t>
      </w:r>
      <w:r>
        <w:rPr>
          <w:rFonts w:hint="eastAsia" w:ascii="仿宋_GB2312" w:hAnsi="仿宋" w:eastAsia="仿宋_GB2312"/>
          <w:sz w:val="32"/>
          <w:szCs w:val="32"/>
        </w:rPr>
        <w:t>流浪乞讨人员主动救助、返乡救助、生活救助、医疗救助、教育矫治、未成年人救助等。</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与上年相比，今年支出减少20.59万元，减少4%，主要原因：一是2021年4月人员减少1人；二是流浪乞讨人员救助补助支出减少</w:t>
      </w:r>
      <w:r>
        <w:rPr>
          <w:rFonts w:hint="eastAsia" w:ascii="仿宋_GB2312" w:hAnsi="仿宋" w:eastAsia="仿宋_GB2312" w:cs="仿宋"/>
          <w:color w:val="000000"/>
          <w:sz w:val="32"/>
          <w:szCs w:val="32"/>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（三）年末结转和结余2.63万元。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 w:hAnsi="仿宋" w:eastAsia="仿宋"/>
          <w:sz w:val="32"/>
          <w:szCs w:val="32"/>
        </w:rPr>
        <w:t>项目支出流浪乞讨人员救助经费</w:t>
      </w:r>
      <w:r>
        <w:rPr>
          <w:rFonts w:hint="eastAsia" w:ascii="仿宋_GB2312" w:hAnsi="宋体" w:eastAsia="仿宋_GB2312"/>
          <w:sz w:val="32"/>
          <w:szCs w:val="32"/>
        </w:rPr>
        <w:t>结余。与上年相比，今年结转结余增加0.26万元，主要原因是因疫情受助人员减少。</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2021年度财政拨款支出453.67万元，其中：基本支出360.26万元，项目支出93.41万元。与上年相比，财政拨款支出减少4.28万元，减少1%，主要原因：一是2021年4月人员减少1人；二是流浪乞讨人员救助补助支出减少</w:t>
      </w:r>
      <w:r>
        <w:rPr>
          <w:rFonts w:hint="eastAsia" w:ascii="仿宋_GB2312" w:hAnsi="仿宋" w:eastAsia="仿宋_GB2312" w:cs="仿宋"/>
          <w:color w:val="000000"/>
          <w:sz w:val="32"/>
          <w:szCs w:val="32"/>
        </w:rPr>
        <w:t>。</w:t>
      </w:r>
      <w:r>
        <w:rPr>
          <w:rFonts w:hint="eastAsia" w:ascii="仿宋_GB2312" w:hAnsi="宋体" w:eastAsia="仿宋_GB2312"/>
          <w:sz w:val="32"/>
          <w:szCs w:val="32"/>
        </w:rPr>
        <w:t>与年初预算相比。</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spacing w:line="540" w:lineRule="exact"/>
        <w:ind w:firstLine="660"/>
        <w:rPr>
          <w:rFonts w:ascii="仿宋_GB2312" w:hAnsi="仿宋" w:eastAsia="仿宋_GB2312"/>
          <w:sz w:val="32"/>
          <w:szCs w:val="32"/>
        </w:rPr>
      </w:pPr>
      <w:r>
        <w:rPr>
          <w:rFonts w:hint="eastAsia" w:ascii="仿宋_GB2312" w:hAnsi="宋体" w:eastAsia="仿宋_GB2312"/>
          <w:sz w:val="32"/>
          <w:szCs w:val="32"/>
        </w:rPr>
        <w:t>2021年度一般公共预算财政拨款支出385.06万元，按支出功能分类科目分</w:t>
      </w:r>
      <w:r>
        <w:rPr>
          <w:rFonts w:hint="eastAsia" w:ascii="仿宋_GB2312" w:hAnsi="仿宋" w:eastAsia="仿宋_GB2312"/>
          <w:sz w:val="32"/>
          <w:szCs w:val="32"/>
        </w:rPr>
        <w:t>包括：社会保障和就业支出355.37万元，占92%；卫生健康支出11.37万元，占3%；住房保障支出18.32万元，占5%。</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 社会保障和就业支出355.37万元，具体包括：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1）社会保障和就业支出（类）行政事业单位养老支出（款）事业单位离退休（项）4.11万元，主要是退休人员公用经费、独生子女费、取暖费等支出，完成年初预算的100%；机关事业单位基本养老保险缴费（项）28.1万元，完成年初预算的100%；机关事业单位职业年金缴费支出（项）0.91万元，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（2）社会保障和就业支出（类）抚恤（款）伤残抚恤（项）3.78万元，主要是伤残职工抚恤金支出，决算数大于年初预算数的原因主要是此项资金为财政年初预留。</w:t>
      </w:r>
    </w:p>
    <w:p>
      <w:pPr>
        <w:autoSpaceDE w:val="0"/>
        <w:autoSpaceDN w:val="0"/>
        <w:adjustRightInd w:val="0"/>
        <w:spacing w:line="540" w:lineRule="exact"/>
        <w:ind w:firstLine="640" w:firstLineChars="200"/>
        <w:rPr>
          <w:rFonts w:ascii="仿宋_GB2312" w:eastAsia="仿宋_GB2312" w:cs="仿宋_GB2312"/>
          <w:sz w:val="32"/>
          <w:szCs w:val="32"/>
        </w:rPr>
      </w:pPr>
      <w:r>
        <w:rPr>
          <w:rFonts w:hint="eastAsia" w:ascii="仿宋_GB2312" w:hAnsi="仿宋" w:eastAsia="仿宋_GB2312"/>
          <w:sz w:val="32"/>
          <w:szCs w:val="32"/>
        </w:rPr>
        <w:t>（3）社会保障和就业支出（类）临时救助（款）流浪乞讨人员救助支出（项）318.47万元，主要是</w:t>
      </w:r>
      <w:r>
        <w:rPr>
          <w:rFonts w:hint="eastAsia" w:ascii="仿宋_GB2312" w:eastAsia="仿宋_GB2312" w:cs="仿宋_GB2312"/>
          <w:sz w:val="32"/>
          <w:szCs w:val="32"/>
        </w:rPr>
        <w:t>人员、日常公用经费</w:t>
      </w:r>
      <w:r>
        <w:rPr>
          <w:rFonts w:hint="eastAsia" w:ascii="仿宋_GB2312" w:hAnsi="仿宋" w:eastAsia="仿宋_GB2312"/>
          <w:sz w:val="32"/>
          <w:szCs w:val="32"/>
        </w:rPr>
        <w:t>及流浪乞讨人员救助等支出，完成年初预算的100%。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2. 卫生健康支出11.37万元，具体包括：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卫生健康支出（类）行政事业单位医疗（款）事业单位医疗（项）11.24万元，主要是职工医疗保险缴费支出，完成年初预算的100%；其他行政事业单位医疗支出（项）0.13万元，主要是职工大额保险缴费支出，完成年初预算的100%。</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3. 住房保障支出18.33万元，具体包括：</w:t>
      </w:r>
    </w:p>
    <w:p>
      <w:pPr>
        <w:spacing w:line="540" w:lineRule="exact"/>
        <w:ind w:firstLine="660"/>
        <w:rPr>
          <w:rFonts w:ascii="仿宋_GB2312" w:hAnsi="仿宋" w:eastAsia="仿宋_GB2312"/>
          <w:sz w:val="32"/>
          <w:szCs w:val="32"/>
        </w:rPr>
      </w:pPr>
      <w:r>
        <w:rPr>
          <w:rFonts w:hint="eastAsia" w:ascii="仿宋_GB2312" w:hAnsi="仿宋" w:eastAsia="仿宋_GB2312"/>
          <w:sz w:val="32"/>
          <w:szCs w:val="32"/>
        </w:rPr>
        <w:t>住房保障支出（类）住房改革支出（款）住房公积金（项）18.33万元，主要是职工住房公积金缴费支出，完成年初预算的100%。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spacing w:line="540" w:lineRule="exact"/>
        <w:ind w:firstLine="660"/>
        <w:rPr>
          <w:rFonts w:ascii="仿宋_GB2312" w:hAnsi="仿宋" w:eastAsia="仿宋_GB2312"/>
          <w:sz w:val="32"/>
          <w:szCs w:val="32"/>
        </w:rPr>
      </w:pPr>
      <w:r>
        <w:rPr>
          <w:rFonts w:hint="eastAsia" w:ascii="仿宋_GB2312" w:hAnsi="宋体" w:eastAsia="仿宋_GB2312"/>
          <w:sz w:val="32"/>
          <w:szCs w:val="32"/>
        </w:rPr>
        <w:t>2021年度政府性基金预算财政拨款支出16.23万元。按支出功能分类科目分</w:t>
      </w:r>
      <w:r>
        <w:rPr>
          <w:rFonts w:hint="eastAsia" w:ascii="仿宋_GB2312" w:hAnsi="仿宋" w:eastAsia="仿宋_GB2312"/>
          <w:sz w:val="32"/>
          <w:szCs w:val="32"/>
        </w:rPr>
        <w:t>包括：其他支出（类）彩票公益金安排的支出（款）用于社会福利的彩票公益金支出（项）16.23万元，占100%。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spacing w:line="540" w:lineRule="exact"/>
        <w:ind w:firstLine="660"/>
        <w:rPr>
          <w:rFonts w:ascii="仿宋" w:hAnsi="仿宋" w:eastAsia="仿宋"/>
          <w:sz w:val="32"/>
          <w:szCs w:val="32"/>
        </w:rPr>
      </w:pPr>
      <w:r>
        <w:rPr>
          <w:rFonts w:hint="eastAsia" w:ascii="仿宋" w:hAnsi="仿宋" w:eastAsia="仿宋"/>
          <w:sz w:val="32"/>
          <w:szCs w:val="32"/>
        </w:rPr>
        <w:t>本单位无此类资金决算。</w:t>
      </w:r>
    </w:p>
    <w:p>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2021年度一般公共预算财政拨款安排的“三公”经费支出12.74万元，完成年初预算的69%，决算数小于年初预算数的主要原因是</w:t>
      </w:r>
      <w:r>
        <w:rPr>
          <w:rFonts w:hint="eastAsia" w:ascii="仿宋_GB2312" w:hAnsi="仿宋" w:eastAsia="仿宋_GB2312"/>
          <w:sz w:val="32"/>
          <w:szCs w:val="32"/>
        </w:rPr>
        <w:t>压缩公务用车及公务接待支出</w:t>
      </w:r>
      <w:r>
        <w:rPr>
          <w:rFonts w:hint="eastAsia" w:ascii="仿宋_GB2312" w:hAnsi="宋体" w:eastAsia="仿宋_GB2312"/>
          <w:sz w:val="32"/>
          <w:szCs w:val="32"/>
        </w:rPr>
        <w:t>。较上年比减少1.25万元，下降8%,主要原因是</w:t>
      </w:r>
      <w:r>
        <w:rPr>
          <w:rFonts w:hint="eastAsia" w:ascii="仿宋_GB2312" w:hAnsi="仿宋" w:eastAsia="仿宋_GB2312"/>
          <w:sz w:val="32"/>
          <w:szCs w:val="32"/>
        </w:rPr>
        <w:t>压缩公务用车及公务接待支出</w:t>
      </w:r>
      <w:r>
        <w:rPr>
          <w:rFonts w:hint="eastAsia" w:ascii="仿宋_GB2312" w:hAnsi="宋体" w:eastAsia="仿宋_GB2312"/>
          <w:sz w:val="32"/>
          <w:szCs w:val="32"/>
        </w:rPr>
        <w:t>。其中：因公出国（境）费0万元，公务接待费0.13万元，公务用车购置及运行维护费12.61万元。</w:t>
      </w:r>
    </w:p>
    <w:p>
      <w:pPr>
        <w:spacing w:line="540" w:lineRule="exact"/>
        <w:ind w:firstLine="645"/>
        <w:rPr>
          <w:rFonts w:ascii="仿宋_GB2312" w:hAnsi="仿宋" w:eastAsia="仿宋_GB2312"/>
          <w:sz w:val="32"/>
          <w:szCs w:val="32"/>
        </w:rPr>
      </w:pPr>
      <w:r>
        <w:rPr>
          <w:rFonts w:hint="eastAsia" w:ascii="仿宋_GB2312" w:hAnsi="宋体" w:eastAsia="仿宋_GB2312"/>
          <w:sz w:val="32"/>
          <w:szCs w:val="32"/>
        </w:rPr>
        <w:t>1.因公出国（境）费0万元，占“三公”经费支出的0%。2021年参加出国（境）团组0个，累计0人次。2021年</w:t>
      </w:r>
      <w:r>
        <w:rPr>
          <w:rFonts w:hint="eastAsia" w:ascii="仿宋_GB2312" w:hAnsi="仿宋" w:eastAsia="仿宋_GB2312"/>
          <w:sz w:val="32"/>
          <w:szCs w:val="32"/>
        </w:rPr>
        <w:t>因公出国（境）费比上年增加0万元，增长0%，无任何变动，主要原因是2021年和2020年本单位均未发生因公出国事项，无因公出国（境）支出。</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2.公务接待费0.13万元，占“三公”经费支出的1%。完成年初预算的43%，决算数小于年初预算数的主要原因是压缩</w:t>
      </w:r>
      <w:r>
        <w:rPr>
          <w:rFonts w:hint="eastAsia" w:ascii="仿宋_GB2312" w:hAnsi="仿宋" w:eastAsia="仿宋_GB2312"/>
          <w:sz w:val="32"/>
          <w:szCs w:val="32"/>
        </w:rPr>
        <w:t>公务接待支出</w:t>
      </w:r>
      <w:r>
        <w:rPr>
          <w:rFonts w:hint="eastAsia" w:ascii="仿宋_GB2312" w:hAnsi="宋体" w:eastAsia="仿宋_GB2312"/>
          <w:sz w:val="32"/>
          <w:szCs w:val="32"/>
        </w:rPr>
        <w:t>。2021年国内公务接待累计7批次、20人、0.13万元，主要用于</w:t>
      </w:r>
      <w:r>
        <w:rPr>
          <w:rFonts w:hint="eastAsia" w:ascii="仿宋_GB2312" w:hAnsi="仿宋" w:eastAsia="仿宋_GB2312"/>
          <w:sz w:val="32"/>
          <w:szCs w:val="32"/>
        </w:rPr>
        <w:t>接待外市救助站护送等</w:t>
      </w:r>
      <w:r>
        <w:rPr>
          <w:rFonts w:hint="eastAsia" w:ascii="仿宋_GB2312" w:hAnsi="宋体" w:eastAsia="仿宋_GB2312"/>
          <w:sz w:val="32"/>
          <w:szCs w:val="32"/>
        </w:rPr>
        <w:t>等；其中外事接待累计0批次、0人、0万元。2021年公务接待费比上年增加0.05万元，增长76%，主要是公务接待人数增加等原因。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3.公务用车购置及运行费12.61万元，占“三公”经费支出的99%。完成年初预算的70%，决算数小于年初预算数的主要原因是</w:t>
      </w:r>
      <w:r>
        <w:rPr>
          <w:rFonts w:hint="eastAsia" w:ascii="仿宋_GB2312" w:hAnsi="仿宋" w:eastAsia="仿宋_GB2312"/>
          <w:sz w:val="32"/>
          <w:szCs w:val="32"/>
        </w:rPr>
        <w:t>压缩公务用车支出</w:t>
      </w:r>
      <w:r>
        <w:rPr>
          <w:rFonts w:hint="eastAsia" w:ascii="仿宋_GB2312" w:hAnsi="宋体" w:eastAsia="仿宋_GB2312"/>
          <w:sz w:val="32"/>
          <w:szCs w:val="32"/>
        </w:rPr>
        <w:t>。比上年减少1.31万元，下降9%，主要是</w:t>
      </w:r>
      <w:r>
        <w:rPr>
          <w:rFonts w:hint="eastAsia" w:ascii="仿宋_GB2312" w:hAnsi="仿宋" w:eastAsia="仿宋_GB2312"/>
          <w:sz w:val="32"/>
          <w:szCs w:val="32"/>
        </w:rPr>
        <w:t>压缩公务用车支出</w:t>
      </w:r>
      <w:r>
        <w:rPr>
          <w:rFonts w:hint="eastAsia" w:ascii="仿宋_GB2312" w:hAnsi="宋体" w:eastAsia="仿宋_GB2312"/>
          <w:sz w:val="32"/>
          <w:szCs w:val="32"/>
        </w:rPr>
        <w:t>等原因。</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其中：公务用车购置费0万元，当年购置公务用车0辆。公务用车运行维护费11.3万元，</w:t>
      </w:r>
      <w:r>
        <w:rPr>
          <w:rFonts w:hint="eastAsia" w:ascii="仿宋_GB2312" w:hAnsi="仿宋" w:eastAsia="仿宋_GB2312"/>
          <w:sz w:val="32"/>
          <w:szCs w:val="32"/>
        </w:rPr>
        <w:t>主要用于公务用车运行燃料费、维修费、保险费</w:t>
      </w:r>
      <w:r>
        <w:rPr>
          <w:rFonts w:hint="eastAsia" w:ascii="仿宋_GB2312" w:hAnsi="宋体" w:eastAsia="仿宋_GB2312"/>
          <w:sz w:val="32"/>
          <w:szCs w:val="32"/>
        </w:rPr>
        <w:t>等，截至年末使用一般公共预算财政拨款开支运行维护费的公务用车保有量4辆。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360.26万元，其中：人员经费292.18万元，主要包括基本工资、津贴补贴、奖金、其他社会保障缴费、机关事业单位基本养老保险缴费、其他工资福利支出、离休费、退休费、抚恤金、生活补助、奖励金、住房公积金、采暖补贴、其他对个人和家庭补助的支出；日常公用经费68.08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宋体" w:eastAsia="仿宋_GB2312"/>
          <w:sz w:val="32"/>
          <w:szCs w:val="32"/>
        </w:rPr>
        <w:t>盘锦市救助管理站为事业单位，根据机关运行经费的定义，本单位2021年度、2020年度无机关运行经费支出。</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2021年政府采购支出总额2.91万元，其中：政府采购货物支出2.91万元，政府采购工程支出０万元，政府采购服务支出０万元。</w:t>
      </w:r>
      <w:r>
        <w:rPr>
          <w:rFonts w:hint="eastAsia" w:ascii="仿宋_GB2312" w:eastAsia="仿宋_GB2312"/>
          <w:sz w:val="32"/>
          <w:szCs w:val="32"/>
        </w:rPr>
        <w:t>授予中小企业合同金额2.91万元，占政府采购支出总额的100%，其中：授予小微企业合同金额2.91万元，占政府采购支出总额的100%；货物采购授予中小企业合同金额占货物支出金额的100%；工程采购授予中小企业合同金额占货物支出金额的0%；服务采购授予中小企业合同金额占货物支出金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1.房屋情况：部门房屋面积2297平方米，价值296.39万元，其中：办公用房面积2105平方米，价值278.63万元；业务用房面积０平方米，价值０万元；其他（不含构筑物）面积192平方米，价值17.76万元。</w:t>
      </w:r>
    </w:p>
    <w:p>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2.车辆情况：共有车辆6辆，价值84.92万元，其中：</w:t>
      </w:r>
      <w:r>
        <w:rPr>
          <w:rFonts w:hint="eastAsia" w:ascii="仿宋_GB2312" w:hAnsi="黑体" w:eastAsia="仿宋_GB2312"/>
          <w:sz w:val="32"/>
          <w:szCs w:val="32"/>
        </w:rPr>
        <w:t>副省级以上领导干部用车０辆，主要</w:t>
      </w:r>
      <w:r>
        <w:rPr>
          <w:rFonts w:ascii="仿宋_GB2312" w:hAnsi="黑体" w:eastAsia="仿宋_GB2312"/>
          <w:sz w:val="32"/>
          <w:szCs w:val="32"/>
        </w:rPr>
        <w:t>领导干部</w:t>
      </w:r>
      <w:r>
        <w:rPr>
          <w:rFonts w:hint="eastAsia" w:ascii="仿宋_GB2312" w:hAnsi="黑体" w:eastAsia="仿宋_GB2312"/>
          <w:sz w:val="32"/>
          <w:szCs w:val="32"/>
        </w:rPr>
        <w:t>用车０辆，机要通讯用车0辆，应急</w:t>
      </w:r>
      <w:r>
        <w:rPr>
          <w:rFonts w:ascii="仿宋_GB2312" w:hAnsi="黑体" w:eastAsia="仿宋_GB2312"/>
          <w:sz w:val="32"/>
          <w:szCs w:val="32"/>
        </w:rPr>
        <w:t>保障用车</w:t>
      </w:r>
      <w:r>
        <w:rPr>
          <w:rFonts w:hint="eastAsia" w:ascii="仿宋_GB2312" w:hAnsi="黑体" w:eastAsia="仿宋_GB2312"/>
          <w:sz w:val="32"/>
          <w:szCs w:val="32"/>
        </w:rPr>
        <w:t>０</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０辆</w:t>
      </w:r>
      <w:r>
        <w:rPr>
          <w:rFonts w:ascii="仿宋_GB2312" w:hAnsi="黑体" w:eastAsia="仿宋_GB2312"/>
          <w:sz w:val="32"/>
          <w:szCs w:val="32"/>
        </w:rPr>
        <w:t>，</w:t>
      </w:r>
      <w:r>
        <w:rPr>
          <w:rFonts w:hint="eastAsia" w:ascii="仿宋_GB2312" w:hAnsi="黑体" w:eastAsia="仿宋_GB2312"/>
          <w:sz w:val="32"/>
          <w:szCs w:val="32"/>
        </w:rPr>
        <w:t>特种专业技术用车6辆，离退休</w:t>
      </w:r>
      <w:r>
        <w:rPr>
          <w:rFonts w:ascii="仿宋_GB2312" w:hAnsi="黑体" w:eastAsia="仿宋_GB2312"/>
          <w:sz w:val="32"/>
          <w:szCs w:val="32"/>
        </w:rPr>
        <w:t>干部用车</w:t>
      </w:r>
      <w:r>
        <w:rPr>
          <w:rFonts w:hint="eastAsia" w:ascii="仿宋_GB2312" w:hAnsi="黑体" w:eastAsia="仿宋_GB2312"/>
          <w:sz w:val="32"/>
          <w:szCs w:val="32"/>
        </w:rPr>
        <w:t>０辆</w:t>
      </w:r>
      <w:r>
        <w:rPr>
          <w:rFonts w:ascii="仿宋_GB2312" w:hAnsi="黑体" w:eastAsia="仿宋_GB2312"/>
          <w:sz w:val="32"/>
          <w:szCs w:val="32"/>
        </w:rPr>
        <w:t>，</w:t>
      </w:r>
      <w:r>
        <w:rPr>
          <w:rFonts w:hint="eastAsia" w:ascii="仿宋_GB2312" w:hAnsi="黑体" w:eastAsia="仿宋_GB2312"/>
          <w:sz w:val="32"/>
          <w:szCs w:val="32"/>
        </w:rPr>
        <w:t>其他用车0辆。</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3.设备情况：单位价值50万元以上通用设备0台（套），单价100万元以上专用设备０台（套）。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pPr>
        <w:widowControl/>
        <w:spacing w:line="520" w:lineRule="exact"/>
        <w:ind w:firstLine="643" w:firstLineChars="200"/>
        <w:jc w:val="left"/>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626.89</w:t>
      </w:r>
      <w:r>
        <w:rPr>
          <w:rFonts w:hint="eastAsia" w:hAnsi="宋体" w:eastAsia="仿宋_GB2312" w:cs="仿宋_GB2312"/>
          <w:sz w:val="32"/>
          <w:szCs w:val="32"/>
        </w:rPr>
        <w:t>万元，自评得分</w:t>
      </w:r>
      <w:r>
        <w:rPr>
          <w:rFonts w:hint="eastAsia" w:ascii="仿宋_GB2312" w:hAnsi="宋体" w:eastAsia="仿宋_GB2312" w:cs="仿宋_GB2312"/>
          <w:sz w:val="32"/>
          <w:szCs w:val="32"/>
        </w:rPr>
        <w:t>99.2</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w:t>
      </w:r>
    </w:p>
    <w:p>
      <w:pPr>
        <w:widowControl/>
        <w:spacing w:line="520" w:lineRule="exact"/>
        <w:ind w:firstLine="643" w:firstLineChars="200"/>
        <w:jc w:val="left"/>
        <w:rPr>
          <w:rFonts w:hAnsi="宋体" w:eastAsia="仿宋_GB2312" w:cs="仿宋_GB2312"/>
          <w:b/>
          <w:bCs/>
          <w:sz w:val="32"/>
          <w:szCs w:val="32"/>
        </w:rPr>
      </w:pPr>
      <w:r>
        <w:rPr>
          <w:rFonts w:hint="eastAsia" w:hAnsi="宋体" w:eastAsia="仿宋_GB2312" w:cs="仿宋_GB2312"/>
          <w:b/>
          <w:bCs/>
          <w:sz w:val="32"/>
          <w:szCs w:val="32"/>
        </w:rPr>
        <w:t>（2）重点项目评价情况。</w:t>
      </w:r>
    </w:p>
    <w:p>
      <w:pPr>
        <w:widowControl/>
        <w:spacing w:line="520" w:lineRule="exact"/>
        <w:ind w:firstLine="640" w:firstLineChars="200"/>
        <w:jc w:val="left"/>
        <w:rPr>
          <w:rFonts w:ascii="仿宋_GB2312" w:hAnsi="宋体" w:eastAsia="仿宋_GB2312" w:cs="仿宋_GB2312"/>
          <w:sz w:val="32"/>
          <w:szCs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p>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2.决算中特定目标类项目绩效自评结果。</w:t>
      </w:r>
    </w:p>
    <w:p>
      <w:pPr>
        <w:widowControl/>
        <w:spacing w:line="520" w:lineRule="exact"/>
        <w:ind w:firstLine="640" w:firstLineChars="200"/>
        <w:jc w:val="left"/>
        <w:rPr>
          <w:rFonts w:ascii="仿宋" w:hAnsi="仿宋" w:eastAsia="仿宋"/>
          <w:sz w:val="32"/>
        </w:rPr>
      </w:pPr>
      <w:r>
        <w:rPr>
          <w:rFonts w:hint="eastAsia" w:hAnsi="宋体" w:eastAsia="仿宋_GB2312" w:cs="仿宋_GB2312"/>
          <w:bCs/>
          <w:sz w:val="32"/>
          <w:szCs w:val="32"/>
        </w:rPr>
        <w:t>本单位无</w:t>
      </w:r>
      <w:r>
        <w:rPr>
          <w:rFonts w:hint="eastAsia" w:ascii="仿宋" w:hAnsi="仿宋" w:eastAsia="仿宋"/>
          <w:sz w:val="32"/>
        </w:rPr>
        <w:t>重点项目绩效评价项目。</w:t>
      </w:r>
    </w:p>
    <w:tbl>
      <w:tblPr>
        <w:tblStyle w:val="4"/>
        <w:tblW w:w="10215" w:type="dxa"/>
        <w:tblInd w:w="93" w:type="dxa"/>
        <w:tblLayout w:type="autofit"/>
        <w:tblCellMar>
          <w:top w:w="0" w:type="dxa"/>
          <w:left w:w="108" w:type="dxa"/>
          <w:bottom w:w="0" w:type="dxa"/>
          <w:right w:w="108" w:type="dxa"/>
        </w:tblCellMar>
      </w:tblPr>
      <w:tblGrid>
        <w:gridCol w:w="417"/>
        <w:gridCol w:w="417"/>
        <w:gridCol w:w="418"/>
        <w:gridCol w:w="627"/>
        <w:gridCol w:w="418"/>
        <w:gridCol w:w="516"/>
        <w:gridCol w:w="418"/>
        <w:gridCol w:w="1016"/>
        <w:gridCol w:w="516"/>
        <w:gridCol w:w="516"/>
        <w:gridCol w:w="725"/>
        <w:gridCol w:w="491"/>
        <w:gridCol w:w="417"/>
        <w:gridCol w:w="417"/>
        <w:gridCol w:w="417"/>
        <w:gridCol w:w="710"/>
        <w:gridCol w:w="418"/>
        <w:gridCol w:w="418"/>
        <w:gridCol w:w="923"/>
      </w:tblGrid>
      <w:tr>
        <w:tblPrEx>
          <w:tblCellMar>
            <w:top w:w="0" w:type="dxa"/>
            <w:left w:w="108" w:type="dxa"/>
            <w:bottom w:w="0" w:type="dxa"/>
            <w:right w:w="108" w:type="dxa"/>
          </w:tblCellMar>
        </w:tblPrEx>
        <w:trPr>
          <w:trHeight w:val="624" w:hRule="atLeast"/>
        </w:trPr>
        <w:tc>
          <w:tcPr>
            <w:tcW w:w="10215" w:type="dxa"/>
            <w:gridSpan w:val="19"/>
            <w:vMerge w:val="restart"/>
            <w:tcBorders>
              <w:top w:val="nil"/>
              <w:left w:val="nil"/>
              <w:bottom w:val="nil"/>
              <w:right w:val="nil"/>
            </w:tcBorders>
            <w:shd w:val="clear" w:color="auto" w:fill="FFFFFF"/>
            <w:vAlign w:val="center"/>
          </w:tcPr>
          <w:p>
            <w:pPr>
              <w:widowControl/>
              <w:jc w:val="center"/>
              <w:textAlignment w:val="center"/>
              <w:rPr>
                <w:rFonts w:hint="eastAsia" w:ascii="宋体" w:hAnsi="宋体" w:cs="宋体"/>
                <w:b/>
                <w:bCs/>
                <w:color w:val="000000"/>
                <w:kern w:val="0"/>
                <w:sz w:val="32"/>
                <w:szCs w:val="32"/>
                <w:lang w:bidi="ar"/>
              </w:rPr>
            </w:pPr>
            <w:bookmarkStart w:id="0" w:name="_GoBack" w:colFirst="0" w:colLast="16"/>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（单位）整体绩效自评表</w:t>
            </w:r>
            <w:r>
              <w:rPr>
                <w:rFonts w:hint="eastAsia" w:ascii="宋体" w:hAnsi="宋体" w:cs="宋体"/>
                <w:b/>
                <w:bCs/>
                <w:color w:val="000000"/>
                <w:kern w:val="0"/>
                <w:sz w:val="32"/>
                <w:szCs w:val="32"/>
                <w:lang w:bidi="ar"/>
              </w:rPr>
              <w:br w:type="textWrapping"/>
            </w:r>
            <w:r>
              <w:rPr>
                <w:rStyle w:val="10"/>
                <w:rFonts w:hint="default"/>
                <w:lang w:bidi="ar"/>
              </w:rPr>
              <w:t>（2021年度）</w:t>
            </w:r>
          </w:p>
        </w:tc>
      </w:tr>
      <w:tr>
        <w:tblPrEx>
          <w:tblCellMar>
            <w:top w:w="0" w:type="dxa"/>
            <w:left w:w="108" w:type="dxa"/>
            <w:bottom w:w="0" w:type="dxa"/>
            <w:right w:w="108" w:type="dxa"/>
          </w:tblCellMar>
        </w:tblPrEx>
        <w:trPr>
          <w:trHeight w:val="624" w:hRule="atLeast"/>
        </w:trPr>
        <w:tc>
          <w:tcPr>
            <w:tcW w:w="10215" w:type="dxa"/>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624" w:hRule="atLeast"/>
        </w:trPr>
        <w:tc>
          <w:tcPr>
            <w:tcW w:w="10215" w:type="dxa"/>
            <w:gridSpan w:val="19"/>
            <w:vMerge w:val="continue"/>
            <w:tcBorders>
              <w:top w:val="nil"/>
              <w:left w:val="nil"/>
              <w:bottom w:val="nil"/>
              <w:right w:val="nil"/>
            </w:tcBorders>
            <w:shd w:val="clear" w:color="auto" w:fill="FFFFFF"/>
            <w:vAlign w:val="center"/>
          </w:tcPr>
          <w:p>
            <w:pPr>
              <w:jc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285" w:hRule="atLeast"/>
        </w:trPr>
        <w:tc>
          <w:tcPr>
            <w:tcW w:w="18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部门（单位）名称</w:t>
            </w:r>
          </w:p>
        </w:tc>
        <w:tc>
          <w:tcPr>
            <w:tcW w:w="833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124032盘锦市救助管理站-211100000</w:t>
            </w:r>
          </w:p>
        </w:tc>
      </w:tr>
      <w:tr>
        <w:tblPrEx>
          <w:tblCellMar>
            <w:top w:w="0" w:type="dxa"/>
            <w:left w:w="108" w:type="dxa"/>
            <w:bottom w:w="0" w:type="dxa"/>
            <w:right w:w="108" w:type="dxa"/>
          </w:tblCellMar>
        </w:tblPrEx>
        <w:trPr>
          <w:trHeight w:val="312" w:hRule="atLeast"/>
        </w:trPr>
        <w:tc>
          <w:tcPr>
            <w:tcW w:w="18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部门年初预算收入金额</w:t>
            </w:r>
          </w:p>
        </w:tc>
        <w:tc>
          <w:tcPr>
            <w:tcW w:w="833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333.15</w:t>
            </w:r>
          </w:p>
        </w:tc>
      </w:tr>
      <w:tr>
        <w:tblPrEx>
          <w:tblCellMar>
            <w:top w:w="0" w:type="dxa"/>
            <w:left w:w="108" w:type="dxa"/>
            <w:bottom w:w="0" w:type="dxa"/>
            <w:right w:w="108" w:type="dxa"/>
          </w:tblCellMar>
        </w:tblPrEx>
        <w:trPr>
          <w:trHeight w:val="312" w:hRule="atLeast"/>
        </w:trPr>
        <w:tc>
          <w:tcPr>
            <w:tcW w:w="18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部门年初预算支出金额</w:t>
            </w:r>
          </w:p>
        </w:tc>
        <w:tc>
          <w:tcPr>
            <w:tcW w:w="833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333.15</w:t>
            </w:r>
          </w:p>
        </w:tc>
      </w:tr>
      <w:tr>
        <w:tblPrEx>
          <w:tblCellMar>
            <w:top w:w="0" w:type="dxa"/>
            <w:left w:w="108" w:type="dxa"/>
            <w:bottom w:w="0" w:type="dxa"/>
            <w:right w:w="108" w:type="dxa"/>
          </w:tblCellMar>
        </w:tblPrEx>
        <w:trPr>
          <w:trHeight w:val="600"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年度主要任务</w:t>
            </w: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工作名称</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对应项目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项目下达金额</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项目执行金额</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项目执行率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完成情况</w:t>
            </w:r>
          </w:p>
        </w:tc>
      </w:tr>
      <w:tr>
        <w:tblPrEx>
          <w:tblCellMar>
            <w:top w:w="0" w:type="dxa"/>
            <w:left w:w="108" w:type="dxa"/>
            <w:bottom w:w="0" w:type="dxa"/>
            <w:right w:w="108" w:type="dxa"/>
          </w:tblCellMar>
        </w:tblPrEx>
        <w:trPr>
          <w:trHeight w:val="8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食品加工人员工资支出</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食品加工人员工资</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按照预算项目要求进行管理，实际工作人员2名，做到了提供合格的食品，本年已完成。</w:t>
            </w:r>
          </w:p>
        </w:tc>
      </w:tr>
      <w:tr>
        <w:trPr>
          <w:trHeight w:val="8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救助人员安全保障人员工资</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物业安保费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16.2</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按照预算项目要求进行管理，实际安保工作人员4名，做到了站内安全保卫工作，本年已完成。</w:t>
            </w:r>
          </w:p>
        </w:tc>
      </w:tr>
      <w:tr>
        <w:trPr>
          <w:trHeight w:val="8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站内绿化维护费</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绿化管理维护费</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按照预算项目要求进行管理，对我站室外绿化进行了补种和保养，本年已完成。</w:t>
            </w:r>
          </w:p>
        </w:tc>
      </w:tr>
      <w:tr>
        <w:trPr>
          <w:trHeight w:val="8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单位运转基本支出费用</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公用经费项目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69.983492</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69.98</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按照预算项目要求，本年已完成公用经费支出。</w:t>
            </w:r>
          </w:p>
        </w:tc>
      </w:tr>
      <w:tr>
        <w:trPr>
          <w:trHeight w:val="84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239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在职职工及合同制职工共计26人工资各项保险。</w:t>
            </w:r>
          </w:p>
        </w:tc>
        <w:tc>
          <w:tcPr>
            <w:tcW w:w="246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人员类项目</w:t>
            </w:r>
          </w:p>
        </w:tc>
        <w:tc>
          <w:tcPr>
            <w:tcW w:w="1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287.005318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287</w:t>
            </w:r>
          </w:p>
        </w:tc>
        <w:tc>
          <w:tcPr>
            <w:tcW w:w="112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按照预算项目要求进行管理，在职职工26人工资保险，已全部完成缴费和发放。</w:t>
            </w:r>
          </w:p>
        </w:tc>
      </w:tr>
      <w:tr>
        <w:trPr>
          <w:trHeight w:val="312" w:hRule="atLeast"/>
        </w:trPr>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年度目标</w:t>
            </w:r>
          </w:p>
        </w:tc>
        <w:tc>
          <w:tcPr>
            <w:tcW w:w="558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年初总体目标</w:t>
            </w:r>
          </w:p>
        </w:tc>
        <w:tc>
          <w:tcPr>
            <w:tcW w:w="421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全年完成情况</w:t>
            </w:r>
          </w:p>
        </w:tc>
      </w:tr>
      <w:tr>
        <w:trPr>
          <w:trHeight w:val="480" w:hRule="atLeast"/>
        </w:trPr>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58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完成受助人员在站期间的食宿救助服务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完成为其受助人员寻亲护送返乡救助服务</w:t>
            </w:r>
          </w:p>
        </w:tc>
        <w:tc>
          <w:tcPr>
            <w:tcW w:w="421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本年度已完成受助人员在站期间的食宿救助服务，并为其受助人员寻亲护送返乡救助服务。</w:t>
            </w:r>
          </w:p>
        </w:tc>
      </w:tr>
      <w:tr>
        <w:tblPrEx>
          <w:tblCellMar>
            <w:top w:w="0" w:type="dxa"/>
            <w:left w:w="108" w:type="dxa"/>
            <w:bottom w:w="0" w:type="dxa"/>
            <w:right w:w="108" w:type="dxa"/>
          </w:tblCellMar>
        </w:tblPrEx>
        <w:trPr>
          <w:trHeight w:val="285" w:hRule="atLeast"/>
        </w:trPr>
        <w:tc>
          <w:tcPr>
            <w:tcW w:w="41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绩效指标</w:t>
            </w:r>
          </w:p>
        </w:tc>
        <w:tc>
          <w:tcPr>
            <w:tcW w:w="41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一级指标</w:t>
            </w:r>
          </w:p>
        </w:tc>
        <w:tc>
          <w:tcPr>
            <w:tcW w:w="41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二级指标</w:t>
            </w:r>
          </w:p>
        </w:tc>
        <w:tc>
          <w:tcPr>
            <w:tcW w:w="627"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三级指标</w:t>
            </w:r>
          </w:p>
        </w:tc>
        <w:tc>
          <w:tcPr>
            <w:tcW w:w="41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运算符号</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指标值</w:t>
            </w:r>
          </w:p>
        </w:tc>
        <w:tc>
          <w:tcPr>
            <w:tcW w:w="418"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全年完成值</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完成程度</w:t>
            </w:r>
          </w:p>
        </w:tc>
        <w:tc>
          <w:tcPr>
            <w:tcW w:w="516"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725" w:type="dxa"/>
            <w:vMerge w:val="restar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2452" w:type="dxa"/>
            <w:gridSpan w:val="5"/>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偏差原因分析</w:t>
            </w:r>
          </w:p>
        </w:tc>
        <w:tc>
          <w:tcPr>
            <w:tcW w:w="175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改进措施</w:t>
            </w: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1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62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1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1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5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72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经费保障原因分析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制度保障原因分析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人员保障原因分析</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硬件条件保障原因分析</w:t>
            </w: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其他原因分析</w:t>
            </w:r>
          </w:p>
        </w:tc>
        <w:tc>
          <w:tcPr>
            <w:tcW w:w="175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b/>
                <w:bCs/>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履职效能</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重点工作履行情况</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重点工作办结率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整体工作完成情况</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总体工作完成率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工作完成及时率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工作质量达标率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40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基础管理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综合管理水平</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72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预算执行效率</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预算执行率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72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预算调整率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结转结余变动率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44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管理效率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预算编制管理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预算绩效目标覆盖率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00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预算监督管理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预决算公开情况</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全部公开</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68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预算收支管理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预算收入管理规范性</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12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预算支出管理规范性</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管理规范</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68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财务管理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内控制度有效性</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制度有效</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60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资产管理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固定资产利用率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0.9</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0.8</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0.72</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固定资产中有一台20年前购入的汽车，因零件无法配置，不能正常使用，闲置等待报废。</w:t>
            </w: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其他:因当时为公安牌照手续，后不能正常使用，未转到地方登记入册，现因手续不全现等待报废。</w:t>
            </w:r>
          </w:p>
        </w:tc>
      </w:tr>
      <w:tr>
        <w:trPr>
          <w:trHeight w:val="224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业务管理</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政府采购管理违法违规行为发生次数</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0.7</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72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运行成本</w:t>
            </w:r>
          </w:p>
        </w:tc>
        <w:tc>
          <w:tcPr>
            <w:tcW w:w="4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成本控制成效</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“三公”经费变动率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9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在职人员控制率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20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人均公用经费变动率</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68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社会效应</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服务对象满意度</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受助人员对服务的满意度</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162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社会公众满意度</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社会群众满意度</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95</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060" w:hRule="atLeast"/>
        </w:trPr>
        <w:tc>
          <w:tcPr>
            <w:tcW w:w="417"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ascii="宋体" w:hAnsi="宋体" w:cs="宋体"/>
                <w:b/>
                <w:bCs/>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可持续性</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体制机制改革</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建立困难群众生活救助工作督导与监督机制</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全覆盖</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7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4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c>
          <w:tcPr>
            <w:tcW w:w="175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 w:val="20"/>
                <w:szCs w:val="20"/>
              </w:rPr>
            </w:pPr>
          </w:p>
        </w:tc>
      </w:tr>
      <w:tr>
        <w:trPr>
          <w:trHeight w:val="285" w:hRule="atLeast"/>
        </w:trPr>
        <w:tc>
          <w:tcPr>
            <w:tcW w:w="600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总评价得分</w:t>
            </w:r>
          </w:p>
        </w:tc>
        <w:tc>
          <w:tcPr>
            <w:tcW w:w="4211" w:type="dxa"/>
            <w:gridSpan w:val="8"/>
            <w:tcBorders>
              <w:top w:val="single" w:color="000000" w:sz="4" w:space="0"/>
              <w:left w:val="nil"/>
              <w:bottom w:val="single" w:color="000000" w:sz="4" w:space="0"/>
              <w:right w:val="single" w:color="000000" w:sz="4" w:space="0"/>
            </w:tcBorders>
            <w:shd w:val="clear" w:color="auto" w:fill="auto"/>
            <w:noWrap/>
            <w:vAlign w:val="bottom"/>
          </w:tcPr>
          <w:p>
            <w:pPr>
              <w:widowControl/>
              <w:jc w:val="center"/>
              <w:textAlignment w:val="bottom"/>
              <w:rPr>
                <w:rFonts w:ascii="宋体" w:hAnsi="宋体" w:cs="宋体"/>
                <w:color w:val="000000"/>
                <w:sz w:val="22"/>
                <w:szCs w:val="22"/>
              </w:rPr>
            </w:pPr>
            <w:r>
              <w:rPr>
                <w:rFonts w:hint="eastAsia" w:ascii="宋体" w:hAnsi="宋体" w:cs="宋体"/>
                <w:color w:val="000000"/>
                <w:kern w:val="0"/>
                <w:sz w:val="22"/>
                <w:szCs w:val="22"/>
                <w:lang w:bidi="ar"/>
              </w:rPr>
              <w:t>99.92</w:t>
            </w:r>
          </w:p>
        </w:tc>
      </w:tr>
      <w:bookmarkEnd w:id="0"/>
    </w:tbl>
    <w:p>
      <w:pPr>
        <w:widowControl/>
        <w:spacing w:line="520" w:lineRule="exact"/>
        <w:jc w:val="left"/>
        <w:rPr>
          <w:rFonts w:ascii="仿宋" w:hAnsi="仿宋" w:eastAsia="仿宋"/>
          <w:sz w:val="32"/>
        </w:rPr>
      </w:pPr>
    </w:p>
    <w:p>
      <w:pPr>
        <w:widowControl/>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p>
    <w:p>
      <w:pPr>
        <w:widowControl/>
        <w:jc w:val="center"/>
        <w:rPr>
          <w:rFonts w:ascii="宋体" w:hAnsi="宋体"/>
          <w:b/>
          <w:sz w:val="36"/>
          <w:szCs w:val="36"/>
        </w:rPr>
      </w:pPr>
      <w:r>
        <w:rPr>
          <w:rFonts w:hint="eastAsia" w:ascii="宋体" w:hAnsi="宋体"/>
          <w:b/>
          <w:sz w:val="36"/>
          <w:szCs w:val="36"/>
        </w:rPr>
        <w:t>第三部分 名词解释</w:t>
      </w:r>
    </w:p>
    <w:p>
      <w:pPr>
        <w:widowControl/>
        <w:jc w:val="center"/>
        <w:rPr>
          <w:rFonts w:ascii="宋体" w:hAnsi="宋体"/>
          <w:b/>
          <w:sz w:val="36"/>
          <w:szCs w:val="36"/>
        </w:rPr>
      </w:pP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15.</w:t>
      </w:r>
      <w:r>
        <w:rPr>
          <w:rFonts w:hint="eastAsia" w:ascii="仿宋" w:hAnsi="仿宋" w:eastAsia="仿宋"/>
          <w:b/>
          <w:sz w:val="32"/>
          <w:szCs w:val="32"/>
        </w:rPr>
        <w:t xml:space="preserve"> 社会保障和就业支出（类）民政管理事务（款）行政区划和地名管理（项）：</w:t>
      </w:r>
      <w:r>
        <w:rPr>
          <w:rFonts w:hint="eastAsia" w:ascii="仿宋" w:hAnsi="仿宋" w:eastAsia="仿宋"/>
          <w:sz w:val="32"/>
          <w:szCs w:val="32"/>
        </w:rPr>
        <w:t>反映行政区划勘定、管理，以及行政区划和地名管理支出。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16.社会保障和就业支出（类）行政事业单位养老支出（款）事业单位离退休（项）：</w:t>
      </w:r>
      <w:r>
        <w:rPr>
          <w:rFonts w:hint="eastAsia" w:ascii="仿宋" w:hAnsi="仿宋" w:eastAsia="仿宋"/>
          <w:sz w:val="32"/>
          <w:szCs w:val="32"/>
        </w:rPr>
        <w:t>反映事业单位开支的离退休经费。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18.社会保障和就业支出（类）行政事业单位养老支出（款）机关事业单位职业年金缴费支出（项）：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19.社会保障和就业支出（类）抚恤（款）伤残抚恤（项）：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20.社会保障和就业支出（类）社会福利（款）殡葬（项）：</w:t>
      </w:r>
      <w:r>
        <w:rPr>
          <w:rFonts w:hint="eastAsia" w:ascii="仿宋" w:hAnsi="仿宋" w:eastAsia="仿宋"/>
          <w:sz w:val="32"/>
          <w:szCs w:val="32"/>
        </w:rPr>
        <w:t>反映殡葬管理和殡葬服务方面的支出，包括民政部门直属的殡仪馆、公墓、殡葬管理服务机构的支出。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21.社会保障和就业支出（类）社会福利（款）社会福利事业单位（项）：</w:t>
      </w:r>
      <w:r>
        <w:rPr>
          <w:rFonts w:hint="eastAsia" w:ascii="仿宋" w:hAnsi="仿宋" w:eastAsia="仿宋"/>
          <w:sz w:val="32"/>
          <w:szCs w:val="32"/>
        </w:rPr>
        <w:t>反映民政部门举办的社会福利事业单位的支出，以及对集体社会福利事业单位的补助费。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22.社会保障和就业支出（类）其他社会保障和就业支出（款）其他社会保障和就业支出（项）：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25.住房保障支出（类）住房改革支出（款）住房公积金（项）：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26.其他支出（类）彩票公益金安排的支出（款）用于社会福利的彩票公益金支出（项）：</w:t>
      </w:r>
      <w:r>
        <w:rPr>
          <w:rFonts w:hint="eastAsia" w:ascii="仿宋" w:hAnsi="仿宋" w:eastAsia="仿宋"/>
          <w:sz w:val="32"/>
          <w:szCs w:val="32"/>
        </w:rPr>
        <w:t>反映用于社会福利和社会救助的彩票公益金支出</w:t>
      </w:r>
    </w:p>
    <w:p>
      <w:pPr>
        <w:spacing w:line="540" w:lineRule="exact"/>
        <w:jc w:val="left"/>
        <w:rPr>
          <w:rFonts w:ascii="仿宋" w:hAnsi="仿宋" w:eastAsia="仿宋"/>
          <w:sz w:val="32"/>
          <w:szCs w:val="32"/>
        </w:rPr>
        <w:sectPr>
          <w:footerReference r:id="rId3" w:type="default"/>
          <w:footerReference r:id="rId4" w:type="even"/>
          <w:pgSz w:w="11906" w:h="16838"/>
          <w:pgMar w:top="1417" w:right="1417" w:bottom="1417" w:left="1417" w:header="851" w:footer="992" w:gutter="0"/>
          <w:cols w:space="0" w:num="1"/>
          <w:docGrid w:type="lines" w:linePitch="312" w:charSpace="0"/>
        </w:sectPr>
      </w:pPr>
    </w:p>
    <w:p>
      <w:pPr>
        <w:spacing w:line="540" w:lineRule="exact"/>
        <w:jc w:val="center"/>
        <w:rPr>
          <w:rFonts w:ascii="仿宋_GB2312" w:eastAsia="仿宋_GB2312"/>
          <w:sz w:val="52"/>
          <w:szCs w:val="52"/>
        </w:rPr>
      </w:pPr>
      <w:r>
        <w:rPr>
          <w:rFonts w:hint="eastAsia" w:ascii="宋体" w:hAnsi="宋体"/>
          <w:b/>
          <w:sz w:val="52"/>
          <w:szCs w:val="52"/>
        </w:rPr>
        <w:t>第四部分 2021年度决算表</w:t>
      </w:r>
    </w:p>
    <w:p>
      <w:pPr>
        <w:spacing w:line="540" w:lineRule="exact"/>
        <w:jc w:val="center"/>
        <w:rPr>
          <w:sz w:val="32"/>
          <w:szCs w:val="32"/>
        </w:rPr>
      </w:pPr>
    </w:p>
    <w:p>
      <w:pPr>
        <w:spacing w:line="540" w:lineRule="exact"/>
        <w:jc w:val="center"/>
        <w:rPr>
          <w:rFonts w:ascii="仿宋_GB2312" w:eastAsia="仿宋_GB2312"/>
          <w:sz w:val="32"/>
          <w:szCs w:val="32"/>
        </w:rPr>
      </w:pPr>
      <w:r>
        <w:rPr>
          <w:rFonts w:hint="eastAsia" w:ascii="仿宋_GB2312" w:eastAsia="仿宋_GB2312"/>
          <w:sz w:val="32"/>
          <w:szCs w:val="32"/>
        </w:rPr>
        <w:t>详见：《盘锦市救助管理站2021年度决算公开表》</w:t>
      </w:r>
    </w:p>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1ZDRhNWFlOTAyNWY4YzgxNmNiYTYyMjE4N2Y5NTUifQ=="/>
  </w:docVars>
  <w:rsids>
    <w:rsidRoot w:val="00FF5E76"/>
    <w:rsid w:val="00035D14"/>
    <w:rsid w:val="00141FB7"/>
    <w:rsid w:val="001843FC"/>
    <w:rsid w:val="00277463"/>
    <w:rsid w:val="0028584D"/>
    <w:rsid w:val="002A349E"/>
    <w:rsid w:val="0038356B"/>
    <w:rsid w:val="003B4408"/>
    <w:rsid w:val="00420AD8"/>
    <w:rsid w:val="00422D84"/>
    <w:rsid w:val="00436BC5"/>
    <w:rsid w:val="004F3C27"/>
    <w:rsid w:val="00573582"/>
    <w:rsid w:val="005E380C"/>
    <w:rsid w:val="005E7860"/>
    <w:rsid w:val="006A49D0"/>
    <w:rsid w:val="007B57C4"/>
    <w:rsid w:val="00801355"/>
    <w:rsid w:val="0081221C"/>
    <w:rsid w:val="00825DB6"/>
    <w:rsid w:val="008B2EB7"/>
    <w:rsid w:val="008C05F5"/>
    <w:rsid w:val="009C1B09"/>
    <w:rsid w:val="00AA3907"/>
    <w:rsid w:val="00AB7E74"/>
    <w:rsid w:val="00B97572"/>
    <w:rsid w:val="00BA2308"/>
    <w:rsid w:val="00BB07AC"/>
    <w:rsid w:val="00BE1E1C"/>
    <w:rsid w:val="00BF7800"/>
    <w:rsid w:val="00C17702"/>
    <w:rsid w:val="00CE06C7"/>
    <w:rsid w:val="00DB5BEB"/>
    <w:rsid w:val="00DC15F4"/>
    <w:rsid w:val="00DD15C0"/>
    <w:rsid w:val="00E52D05"/>
    <w:rsid w:val="00E706BC"/>
    <w:rsid w:val="00E80298"/>
    <w:rsid w:val="00EF6275"/>
    <w:rsid w:val="00F2725B"/>
    <w:rsid w:val="00F41229"/>
    <w:rsid w:val="00F5044B"/>
    <w:rsid w:val="00F50A45"/>
    <w:rsid w:val="00FA3341"/>
    <w:rsid w:val="00FD3F92"/>
    <w:rsid w:val="00FE3441"/>
    <w:rsid w:val="00FF5E76"/>
    <w:rsid w:val="03EB7A86"/>
    <w:rsid w:val="1E25654C"/>
    <w:rsid w:val="459D7671"/>
    <w:rsid w:val="462F24ED"/>
    <w:rsid w:val="477C41B9"/>
    <w:rsid w:val="49552C8E"/>
    <w:rsid w:val="4A1552A6"/>
    <w:rsid w:val="54245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5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F89A66-3B18-4E4D-9F5B-C486700BFF8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6362</Words>
  <Characters>7039</Characters>
  <Lines>54</Lines>
  <Paragraphs>15</Paragraphs>
  <TotalTime>9</TotalTime>
  <ScaleCrop>false</ScaleCrop>
  <LinksUpToDate>false</LinksUpToDate>
  <CharactersWithSpaces>7068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  鑫</cp:lastModifiedBy>
  <dcterms:modified xsi:type="dcterms:W3CDTF">2022-10-14T08:13:10Z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18CD7DB5C5344795A2FB5D704D68E032</vt:lpwstr>
  </property>
</Properties>
</file>