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r>
        <w:rPr>
          <w:rFonts w:hint="eastAsia" w:ascii="宋体" w:hAnsi="宋体"/>
          <w:b/>
          <w:sz w:val="52"/>
          <w:szCs w:val="52"/>
        </w:rPr>
        <w:t>中共盘锦市直属机关工作委员会</w:t>
      </w:r>
    </w:p>
    <w:p>
      <w:pPr>
        <w:spacing w:line="540" w:lineRule="exact"/>
        <w:jc w:val="center"/>
        <w:rPr>
          <w:rFonts w:ascii="宋体" w:hAnsi="宋体"/>
          <w:b/>
          <w:sz w:val="52"/>
          <w:szCs w:val="52"/>
        </w:rPr>
      </w:pPr>
    </w:p>
    <w:p>
      <w:pPr>
        <w:spacing w:line="540" w:lineRule="exact"/>
        <w:jc w:val="center"/>
        <w:rPr>
          <w:rFonts w:ascii="宋体" w:hAnsi="宋体"/>
          <w:b/>
          <w:sz w:val="52"/>
          <w:szCs w:val="52"/>
        </w:rPr>
      </w:pPr>
      <w:r>
        <w:rPr>
          <w:rFonts w:hint="eastAsia" w:ascii="宋体" w:hAnsi="宋体"/>
          <w:b/>
          <w:sz w:val="52"/>
          <w:szCs w:val="52"/>
        </w:rPr>
        <w:t>2021年度部门决算公开说明</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部门概况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2021年度部门决算情况说明</w:t>
      </w:r>
    </w:p>
    <w:p>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pPr>
        <w:spacing w:line="540" w:lineRule="exact"/>
        <w:rPr>
          <w:rFonts w:ascii="黑体" w:hAnsi="黑体" w:eastAsia="黑体"/>
          <w:sz w:val="32"/>
          <w:szCs w:val="32"/>
        </w:rPr>
      </w:pPr>
      <w:r>
        <w:rPr>
          <w:rFonts w:hint="eastAsia" w:ascii="黑体" w:hAnsi="黑体" w:eastAsia="黑体"/>
          <w:sz w:val="32"/>
          <w:szCs w:val="32"/>
        </w:rPr>
        <w:t>第三部分    名词解释</w:t>
      </w:r>
    </w:p>
    <w:p>
      <w:pPr>
        <w:spacing w:line="540" w:lineRule="exact"/>
        <w:rPr>
          <w:rFonts w:ascii="黑体" w:hAnsi="黑体" w:eastAsia="黑体"/>
          <w:sz w:val="32"/>
          <w:szCs w:val="32"/>
        </w:rPr>
      </w:pPr>
      <w:r>
        <w:rPr>
          <w:rFonts w:hint="eastAsia" w:ascii="黑体" w:hAnsi="黑体" w:eastAsia="黑体"/>
          <w:sz w:val="32"/>
          <w:szCs w:val="32"/>
        </w:rPr>
        <w:t>第四部分    2021年度部门决算报表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ascii="仿宋_GB2312" w:eastAsia="仿宋_GB2312"/>
          <w:sz w:val="32"/>
          <w:szCs w:val="32"/>
        </w:rPr>
      </w:pPr>
      <w:r>
        <w:rPr>
          <w:rFonts w:hint="eastAsia" w:ascii="仿宋_GB2312" w:eastAsia="仿宋_GB2312"/>
          <w:sz w:val="32"/>
          <w:szCs w:val="32"/>
        </w:rPr>
        <w:t>二、收入决算表</w:t>
      </w:r>
    </w:p>
    <w:p>
      <w:pPr>
        <w:spacing w:line="540" w:lineRule="exact"/>
        <w:rPr>
          <w:rFonts w:ascii="仿宋_GB2312" w:eastAsia="仿宋_GB2312"/>
          <w:sz w:val="32"/>
          <w:szCs w:val="32"/>
        </w:rPr>
      </w:pPr>
      <w:r>
        <w:rPr>
          <w:rFonts w:hint="eastAsia" w:ascii="仿宋_GB2312" w:eastAsia="仿宋_GB2312"/>
          <w:sz w:val="32"/>
          <w:szCs w:val="32"/>
        </w:rPr>
        <w:t>三、支出决算表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七、一般公共预算财政拨款“三公”经费支出决算表</w:t>
      </w:r>
    </w:p>
    <w:p>
      <w:pPr>
        <w:spacing w:line="540" w:lineRule="exact"/>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pPr>
        <w:spacing w:line="540" w:lineRule="exact"/>
        <w:jc w:val="center"/>
        <w:rPr>
          <w:rFonts w:ascii="黑体" w:hAnsi="黑体" w:eastAsia="黑体"/>
          <w:b/>
          <w:sz w:val="44"/>
          <w:szCs w:val="44"/>
          <w:u w:val="single"/>
        </w:rPr>
      </w:pPr>
    </w:p>
    <w:p>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 xml:space="preserve">第一部分 </w:t>
      </w:r>
      <w:r>
        <w:rPr>
          <w:rFonts w:hint="eastAsia" w:ascii="仿宋" w:hAnsi="仿宋" w:eastAsia="仿宋"/>
          <w:b/>
          <w:sz w:val="36"/>
          <w:szCs w:val="36"/>
        </w:rPr>
        <w:t>中共辽宁省盘锦市直属机关工作委员会概况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一、主要职责和机构设置情况</w:t>
      </w:r>
    </w:p>
    <w:p>
      <w:pPr>
        <w:ind w:firstLine="640" w:firstLineChars="200"/>
        <w:rPr>
          <w:rFonts w:eastAsia="仿宋_GB2312"/>
          <w:sz w:val="32"/>
          <w:szCs w:val="32"/>
        </w:rPr>
      </w:pPr>
      <w:r>
        <w:rPr>
          <w:rFonts w:hint="eastAsia" w:eastAsia="仿宋_GB2312"/>
          <w:sz w:val="32"/>
          <w:szCs w:val="32"/>
        </w:rPr>
        <w:t>（一）统一组织、规划、部署市直机关党的工作，提出加强和改进机关党的建设的意见和建议，研究拟订工作规划，并抓好组织实施。</w:t>
      </w:r>
    </w:p>
    <w:p>
      <w:pPr>
        <w:ind w:firstLine="640" w:firstLineChars="200"/>
        <w:jc w:val="left"/>
        <w:rPr>
          <w:rFonts w:eastAsia="仿宋_GB2312"/>
          <w:sz w:val="32"/>
          <w:szCs w:val="32"/>
        </w:rPr>
      </w:pPr>
      <w:r>
        <w:rPr>
          <w:rFonts w:hint="eastAsia" w:eastAsia="仿宋_GB2312"/>
          <w:sz w:val="32"/>
          <w:szCs w:val="32"/>
        </w:rPr>
        <w:t>（二）指导市直机关党的政治建设、思想建设、组织建设、作风建设、纪律建设，把制度建设贯穿其中，深入推进反腐败斗争。</w:t>
      </w:r>
    </w:p>
    <w:p>
      <w:pPr>
        <w:ind w:firstLine="640" w:firstLineChars="200"/>
        <w:jc w:val="left"/>
        <w:rPr>
          <w:rFonts w:eastAsia="仿宋_GB2312"/>
          <w:sz w:val="32"/>
          <w:szCs w:val="32"/>
        </w:rPr>
      </w:pPr>
      <w:r>
        <w:rPr>
          <w:rFonts w:hint="eastAsia" w:eastAsia="仿宋_GB2312"/>
          <w:sz w:val="32"/>
          <w:szCs w:val="32"/>
        </w:rPr>
        <w:t>（三）指导市直机关各级党组织和广大党员学习马克思列宁主义、毛泽东思想、邓小平理论、</w:t>
      </w:r>
      <w:r>
        <w:rPr>
          <w:rFonts w:eastAsia="仿宋_GB2312"/>
          <w:sz w:val="32"/>
          <w:szCs w:val="32"/>
        </w:rPr>
        <w:t>“</w:t>
      </w:r>
      <w:r>
        <w:rPr>
          <w:rFonts w:hint="eastAsia" w:eastAsia="仿宋_GB2312"/>
          <w:sz w:val="32"/>
          <w:szCs w:val="32"/>
        </w:rPr>
        <w:t>三个代表</w:t>
      </w:r>
      <w:r>
        <w:rPr>
          <w:rFonts w:eastAsia="仿宋_GB2312"/>
          <w:sz w:val="32"/>
          <w:szCs w:val="32"/>
        </w:rPr>
        <w:t>”</w:t>
      </w:r>
      <w:r>
        <w:rPr>
          <w:rFonts w:hint="eastAsia" w:eastAsia="仿宋_GB2312"/>
          <w:sz w:val="32"/>
          <w:szCs w:val="32"/>
        </w:rPr>
        <w:t>重要思想、科学发展观、习近平新时代中国特色社会主义思想。</w:t>
      </w:r>
    </w:p>
    <w:p>
      <w:pPr>
        <w:ind w:firstLine="640" w:firstLineChars="200"/>
        <w:jc w:val="left"/>
        <w:rPr>
          <w:rFonts w:eastAsia="仿宋_GB2312"/>
          <w:sz w:val="32"/>
          <w:szCs w:val="32"/>
        </w:rPr>
      </w:pPr>
      <w:r>
        <w:rPr>
          <w:rFonts w:hint="eastAsia" w:eastAsia="仿宋_GB2312"/>
          <w:sz w:val="32"/>
          <w:szCs w:val="32"/>
        </w:rPr>
        <w:t>（四）对市直机关各级党组织、党员领导干部落实党建责任制、遵守政治纪律和政治规矩情况进行监督检查，并向市委报告。</w:t>
      </w:r>
    </w:p>
    <w:p>
      <w:pPr>
        <w:ind w:firstLine="640" w:firstLineChars="200"/>
        <w:jc w:val="left"/>
        <w:rPr>
          <w:rFonts w:eastAsia="仿宋_GB2312"/>
          <w:sz w:val="32"/>
          <w:szCs w:val="32"/>
        </w:rPr>
      </w:pPr>
      <w:r>
        <w:rPr>
          <w:rFonts w:hint="eastAsia" w:eastAsia="仿宋_GB2312"/>
          <w:sz w:val="32"/>
          <w:szCs w:val="32"/>
        </w:rPr>
        <w:t>（五）指导市直机关各级党组织实施对党员特别是党员领导干部的监督和管理，及时向市委反映各部门领导班子、领导干部的情况。</w:t>
      </w:r>
    </w:p>
    <w:p>
      <w:pPr>
        <w:ind w:firstLine="640" w:firstLineChars="200"/>
        <w:jc w:val="left"/>
        <w:rPr>
          <w:rFonts w:eastAsia="仿宋_GB2312"/>
          <w:sz w:val="32"/>
          <w:szCs w:val="32"/>
        </w:rPr>
      </w:pPr>
      <w:r>
        <w:rPr>
          <w:rFonts w:hint="eastAsia" w:eastAsia="仿宋_GB2312"/>
          <w:sz w:val="32"/>
          <w:szCs w:val="32"/>
        </w:rPr>
        <w:t>（六）配合市委有关部门抓好市直机关各部门领导班子思想政治建设，参与对党员领导干部民主生活会和市委各部委、市直各党组（党委）理论学习中心组学习的督促检查和指导，了解掌握情况，按规定报送情况报告。</w:t>
      </w:r>
    </w:p>
    <w:p>
      <w:pPr>
        <w:ind w:firstLine="640" w:firstLineChars="200"/>
        <w:jc w:val="left"/>
        <w:rPr>
          <w:rFonts w:eastAsia="仿宋_GB2312"/>
          <w:sz w:val="32"/>
          <w:szCs w:val="32"/>
        </w:rPr>
      </w:pPr>
      <w:r>
        <w:rPr>
          <w:rFonts w:hint="eastAsia" w:eastAsia="仿宋_GB2312"/>
          <w:sz w:val="32"/>
          <w:szCs w:val="32"/>
        </w:rPr>
        <w:t>（七）督促指导市直机关各部门机关党委（总支、支部）按期换届，审批关于召开党员大会或党员代表大会的请示，审批市直机关各部门机关党委（总支、支部）和机关纪委领导班子的组成及书记、副书记的任免。</w:t>
      </w:r>
    </w:p>
    <w:p>
      <w:pPr>
        <w:ind w:firstLine="640" w:firstLineChars="200"/>
        <w:jc w:val="left"/>
        <w:rPr>
          <w:rFonts w:eastAsia="仿宋_GB2312"/>
          <w:sz w:val="32"/>
          <w:szCs w:val="32"/>
        </w:rPr>
      </w:pPr>
      <w:r>
        <w:rPr>
          <w:rFonts w:hint="eastAsia" w:eastAsia="仿宋_GB2312"/>
          <w:sz w:val="32"/>
          <w:szCs w:val="32"/>
        </w:rPr>
        <w:t>（八）指导市直机关各级党组织加强基层组织建设，做好党员发展、教育和管理等工作。</w:t>
      </w:r>
    </w:p>
    <w:p>
      <w:pPr>
        <w:ind w:firstLine="640" w:firstLineChars="200"/>
        <w:jc w:val="left"/>
        <w:rPr>
          <w:rFonts w:eastAsia="仿宋_GB2312"/>
          <w:sz w:val="32"/>
          <w:szCs w:val="32"/>
        </w:rPr>
      </w:pPr>
      <w:r>
        <w:rPr>
          <w:rFonts w:hint="eastAsia" w:eastAsia="仿宋_GB2312"/>
          <w:sz w:val="32"/>
          <w:szCs w:val="32"/>
        </w:rPr>
        <w:t>（九）领导市直机关各部门机关党的纪律检查工作。</w:t>
      </w:r>
    </w:p>
    <w:p>
      <w:pPr>
        <w:ind w:firstLine="640" w:firstLineChars="200"/>
        <w:jc w:val="left"/>
        <w:rPr>
          <w:rFonts w:eastAsia="仿宋_GB2312"/>
          <w:sz w:val="32"/>
          <w:szCs w:val="32"/>
        </w:rPr>
      </w:pPr>
      <w:r>
        <w:rPr>
          <w:rFonts w:hint="eastAsia" w:eastAsia="仿宋_GB2312"/>
          <w:sz w:val="32"/>
          <w:szCs w:val="32"/>
        </w:rPr>
        <w:t>（十）了解掌握市直机关工作人员的思想状况，指导市直机关各级党组织加强思想政治工作和精神文明建设。</w:t>
      </w:r>
    </w:p>
    <w:p>
      <w:pPr>
        <w:ind w:firstLine="640" w:firstLineChars="200"/>
        <w:jc w:val="left"/>
        <w:rPr>
          <w:rFonts w:eastAsia="仿宋_GB2312"/>
          <w:sz w:val="32"/>
          <w:szCs w:val="32"/>
        </w:rPr>
      </w:pPr>
      <w:r>
        <w:rPr>
          <w:rFonts w:hint="eastAsia" w:eastAsia="仿宋_GB2312"/>
          <w:sz w:val="32"/>
          <w:szCs w:val="32"/>
        </w:rPr>
        <w:t>（十一）领导市直机关工会、共青团、妇联等群团组织的工作，指导市直机关各级党组织做好党的群众工作和统一战线工作。</w:t>
      </w:r>
    </w:p>
    <w:p>
      <w:pPr>
        <w:ind w:firstLine="640" w:firstLineChars="200"/>
        <w:jc w:val="left"/>
        <w:rPr>
          <w:rFonts w:eastAsia="仿宋_GB2312"/>
          <w:sz w:val="32"/>
          <w:szCs w:val="32"/>
        </w:rPr>
      </w:pPr>
      <w:r>
        <w:rPr>
          <w:rFonts w:hint="eastAsia" w:eastAsia="仿宋_GB2312"/>
          <w:sz w:val="32"/>
          <w:szCs w:val="32"/>
        </w:rPr>
        <w:t>（十二）</w:t>
      </w:r>
      <w:r>
        <w:rPr>
          <w:rFonts w:hint="eastAsia" w:eastAsia="仿宋_GB2312"/>
          <w:bCs/>
          <w:sz w:val="32"/>
          <w:szCs w:val="32"/>
        </w:rPr>
        <w:t>协同有关部门指导、规划、协调、监督、检查市直机关干部教育培训工作，负责市直机关党务干部和基层党支部书记培训轮训工作。</w:t>
      </w:r>
    </w:p>
    <w:p>
      <w:pPr>
        <w:ind w:firstLine="640" w:firstLineChars="200"/>
        <w:jc w:val="left"/>
        <w:rPr>
          <w:rFonts w:eastAsia="仿宋_GB2312"/>
          <w:sz w:val="32"/>
          <w:szCs w:val="32"/>
        </w:rPr>
      </w:pPr>
      <w:r>
        <w:rPr>
          <w:rFonts w:hint="eastAsia" w:eastAsia="仿宋_GB2312"/>
          <w:sz w:val="32"/>
          <w:szCs w:val="32"/>
        </w:rPr>
        <w:t>（十三）协助有关部门协调市直机关各部门做好维护稳定工作。</w:t>
      </w:r>
    </w:p>
    <w:p>
      <w:pPr>
        <w:spacing w:line="360" w:lineRule="auto"/>
        <w:ind w:firstLine="624" w:firstLineChars="195"/>
        <w:rPr>
          <w:rFonts w:ascii="仿宋" w:hAnsi="仿宋" w:eastAsia="仿宋" w:cs="仿宋"/>
          <w:sz w:val="32"/>
          <w:szCs w:val="32"/>
        </w:rPr>
      </w:pPr>
      <w:r>
        <w:rPr>
          <w:rFonts w:hint="eastAsia" w:eastAsia="仿宋_GB2312"/>
          <w:sz w:val="32"/>
          <w:szCs w:val="32"/>
        </w:rPr>
        <w:t>（十四）完成市委交办的其他任务。</w:t>
      </w:r>
    </w:p>
    <w:p>
      <w:pPr>
        <w:spacing w:line="540" w:lineRule="exact"/>
        <w:ind w:firstLine="640" w:firstLineChars="200"/>
        <w:jc w:val="left"/>
        <w:rPr>
          <w:rFonts w:ascii="黑体" w:eastAsia="黑体"/>
          <w:sz w:val="32"/>
          <w:szCs w:val="32"/>
        </w:rPr>
      </w:pPr>
      <w:r>
        <w:rPr>
          <w:rFonts w:hint="eastAsia" w:ascii="仿宋" w:hAnsi="仿宋" w:eastAsia="仿宋"/>
          <w:sz w:val="32"/>
          <w:szCs w:val="32"/>
        </w:rPr>
        <w:t>根据本部门主要职责，内设机构如下：</w:t>
      </w:r>
    </w:p>
    <w:p>
      <w:pPr>
        <w:numPr>
          <w:ilvl w:val="0"/>
          <w:numId w:val="2"/>
        </w:numPr>
        <w:spacing w:line="540" w:lineRule="exact"/>
        <w:ind w:firstLine="640"/>
        <w:jc w:val="left"/>
        <w:rPr>
          <w:rFonts w:ascii="仿宋" w:hAnsi="仿宋" w:eastAsia="仿宋" w:cs="仿宋"/>
          <w:sz w:val="32"/>
        </w:rPr>
      </w:pPr>
      <w:r>
        <w:rPr>
          <w:rFonts w:hint="eastAsia" w:ascii="仿宋" w:hAnsi="仿宋" w:eastAsia="仿宋" w:cs="仿宋"/>
          <w:sz w:val="32"/>
        </w:rPr>
        <w:t>办公室</w:t>
      </w:r>
    </w:p>
    <w:p>
      <w:pPr>
        <w:numPr>
          <w:ilvl w:val="0"/>
          <w:numId w:val="2"/>
        </w:numPr>
        <w:spacing w:line="540" w:lineRule="exact"/>
        <w:ind w:firstLine="640"/>
        <w:jc w:val="left"/>
        <w:rPr>
          <w:rFonts w:ascii="仿宋" w:hAnsi="仿宋" w:eastAsia="仿宋" w:cs="仿宋"/>
          <w:sz w:val="32"/>
        </w:rPr>
      </w:pPr>
      <w:r>
        <w:rPr>
          <w:rFonts w:hint="eastAsia" w:ascii="仿宋" w:hAnsi="仿宋" w:eastAsia="仿宋" w:cs="仿宋"/>
          <w:sz w:val="32"/>
        </w:rPr>
        <w:t>组宣部</w:t>
      </w:r>
    </w:p>
    <w:p>
      <w:pPr>
        <w:numPr>
          <w:ilvl w:val="0"/>
          <w:numId w:val="2"/>
        </w:numPr>
        <w:spacing w:line="540" w:lineRule="exact"/>
        <w:ind w:firstLine="640"/>
        <w:jc w:val="left"/>
        <w:rPr>
          <w:rFonts w:ascii="仿宋" w:hAnsi="仿宋" w:eastAsia="仿宋" w:cs="仿宋"/>
          <w:sz w:val="32"/>
        </w:rPr>
      </w:pPr>
      <w:r>
        <w:rPr>
          <w:rFonts w:hint="eastAsia" w:ascii="仿宋" w:hAnsi="仿宋" w:eastAsia="仿宋" w:cs="仿宋"/>
          <w:sz w:val="32"/>
        </w:rPr>
        <w:t>群团工作部</w:t>
      </w:r>
    </w:p>
    <w:p>
      <w:pPr>
        <w:spacing w:line="540" w:lineRule="exact"/>
        <w:jc w:val="left"/>
        <w:rPr>
          <w:rFonts w:ascii="仿宋" w:hAnsi="仿宋" w:eastAsia="仿宋" w:cs="仿宋"/>
          <w:sz w:val="32"/>
        </w:rPr>
      </w:pPr>
      <w:r>
        <w:rPr>
          <w:rFonts w:hint="eastAsia" w:eastAsia="仿宋_GB2312"/>
          <w:sz w:val="34"/>
          <w:szCs w:val="34"/>
        </w:rPr>
        <w:t>设市直机关纪检监察工作委员会，内设</w:t>
      </w:r>
      <w:r>
        <w:rPr>
          <w:rFonts w:eastAsia="仿宋_GB2312"/>
          <w:sz w:val="34"/>
          <w:szCs w:val="34"/>
        </w:rPr>
        <w:t>1</w:t>
      </w:r>
      <w:r>
        <w:rPr>
          <w:rFonts w:hint="eastAsia" w:eastAsia="仿宋_GB2312"/>
          <w:sz w:val="34"/>
          <w:szCs w:val="34"/>
        </w:rPr>
        <w:t>个正科级机构：纪检监察室。</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960" w:firstLineChars="300"/>
        <w:rPr>
          <w:rFonts w:ascii="仿宋" w:hAnsi="仿宋" w:eastAsia="仿宋"/>
          <w:sz w:val="32"/>
          <w:szCs w:val="32"/>
        </w:rPr>
      </w:pPr>
      <w:r>
        <w:rPr>
          <w:rFonts w:hint="eastAsia" w:ascii="仿宋" w:hAnsi="仿宋" w:eastAsia="仿宋"/>
          <w:sz w:val="32"/>
          <w:szCs w:val="32"/>
        </w:rPr>
        <w:t>纳入中共辽宁省盘锦市直属机关工作委员会2021年部门决算编制范围的预算单位：中共辽宁省盘锦市直属机关工作委员会一户单位。</w:t>
      </w:r>
    </w:p>
    <w:p>
      <w:pPr>
        <w:spacing w:line="540" w:lineRule="exact"/>
        <w:ind w:left="319" w:leftChars="152" w:firstLine="361" w:firstLineChars="100"/>
        <w:jc w:val="center"/>
        <w:rPr>
          <w:rFonts w:ascii="宋体" w:hAnsi="宋体"/>
          <w:b/>
          <w:sz w:val="36"/>
          <w:szCs w:val="36"/>
        </w:rPr>
      </w:pPr>
    </w:p>
    <w:p>
      <w:pPr>
        <w:spacing w:line="540" w:lineRule="exact"/>
        <w:ind w:left="319" w:leftChars="152" w:firstLine="361" w:firstLineChars="100"/>
        <w:jc w:val="center"/>
        <w:rPr>
          <w:rFonts w:ascii="宋体" w:hAnsi="宋体"/>
          <w:b/>
          <w:sz w:val="36"/>
          <w:szCs w:val="36"/>
        </w:rPr>
      </w:pPr>
      <w:r>
        <w:rPr>
          <w:rFonts w:hint="eastAsia" w:ascii="宋体" w:hAnsi="宋体"/>
          <w:b/>
          <w:sz w:val="36"/>
          <w:szCs w:val="36"/>
        </w:rPr>
        <w:t xml:space="preserve">第二部分 </w:t>
      </w:r>
      <w:r>
        <w:rPr>
          <w:rFonts w:hint="eastAsia" w:ascii="仿宋" w:hAnsi="仿宋" w:eastAsia="仿宋"/>
          <w:b/>
          <w:sz w:val="36"/>
          <w:szCs w:val="36"/>
        </w:rPr>
        <w:t>中共辽宁省盘锦市直属机关工作委员会2021年度部门决算情况说明</w:t>
      </w:r>
    </w:p>
    <w:p>
      <w:pPr>
        <w:spacing w:line="540" w:lineRule="exact"/>
        <w:rPr>
          <w:rFonts w:ascii="宋体" w:hAnsi="宋体"/>
          <w:b/>
          <w:sz w:val="36"/>
          <w:szCs w:val="36"/>
        </w:rPr>
      </w:pPr>
    </w:p>
    <w:p>
      <w:pPr>
        <w:pStyle w:val="9"/>
        <w:numPr>
          <w:ilvl w:val="0"/>
          <w:numId w:val="3"/>
        </w:numPr>
        <w:spacing w:line="540" w:lineRule="exact"/>
        <w:ind w:firstLineChars="0"/>
        <w:rPr>
          <w:rFonts w:ascii="黑体" w:hAnsi="黑体" w:eastAsia="黑体"/>
          <w:sz w:val="32"/>
          <w:szCs w:val="32"/>
        </w:rPr>
      </w:pPr>
      <w:r>
        <w:rPr>
          <w:rFonts w:hint="eastAsia" w:ascii="黑体" w:hAnsi="黑体" w:eastAsia="黑体"/>
          <w:sz w:val="32"/>
          <w:szCs w:val="32"/>
        </w:rPr>
        <w:t>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（一）收入总计356.3万元，包括：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1.财政拨款收入355.32万元，占</w:t>
      </w:r>
      <w:r>
        <w:rPr>
          <w:rFonts w:ascii="仿宋_GB2312" w:hAnsi="宋体" w:eastAsia="仿宋_GB2312"/>
          <w:sz w:val="32"/>
          <w:szCs w:val="32"/>
        </w:rPr>
        <w:t>收入总计的</w:t>
      </w:r>
      <w:r>
        <w:rPr>
          <w:rFonts w:hint="eastAsia" w:ascii="仿宋_GB2312" w:hAnsi="宋体" w:eastAsia="仿宋_GB2312"/>
          <w:sz w:val="32"/>
          <w:szCs w:val="32"/>
        </w:rPr>
        <w:t>99.7</w:t>
      </w:r>
      <w:r>
        <w:rPr>
          <w:rFonts w:ascii="仿宋_GB2312" w:hAnsi="宋体" w:eastAsia="仿宋_GB2312"/>
          <w:sz w:val="32"/>
          <w:szCs w:val="32"/>
        </w:rPr>
        <w:t>%</w:t>
      </w:r>
      <w:r>
        <w:rPr>
          <w:rFonts w:hint="eastAsia" w:ascii="仿宋_GB2312" w:hAnsi="宋体" w:eastAsia="仿宋_GB2312"/>
          <w:sz w:val="32"/>
          <w:szCs w:val="32"/>
        </w:rPr>
        <w:t>。其中：一般公共预算财政拨款收入355.32万元，政府性基金收入0万元，国有资本经营预算财政拨款收入0万元。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7.使用非财政拨款结余0万元，占收入总计的0%。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8.上年结转和结余0.98万元，占收入总计的0.3%。</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与上年相比，今年收入增加33.31万元，增长10.34%，主要原因：人员经费增加。</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（二）支出总计356.3万元，包括：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331.61万元，占支出总计的93.07%。主要是为保障机构正常运转、完成日常工作任务而发生的各项支出，其中：工资福利支出289.36万元，对个人和家庭的补助支出3.99万元，商品和服务支出34.53万元，资本性支出3.72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24.69万元，占支出总计的6.93%。主要包括市直机关庆祝建党100周年表彰大会经费3.5万元、基层党建质量提升经费12万元、基层党建宣传教育经费5万元、党风廉政建设宣传教育活动经费1万元、涉密项目3.19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与上年相比，今年支出增加36.73万元，增长11.49%，主要原因：</w:t>
      </w:r>
      <w:r>
        <w:rPr>
          <w:rFonts w:hint="eastAsia" w:ascii="仿宋" w:hAnsi="仿宋" w:eastAsia="仿宋"/>
          <w:sz w:val="32"/>
          <w:szCs w:val="32"/>
        </w:rPr>
        <w:t>人员支出增加</w:t>
      </w:r>
      <w:r>
        <w:rPr>
          <w:rFonts w:hint="eastAsia" w:ascii="仿宋_GB2312" w:hAnsi="宋体" w:eastAsia="仿宋_GB2312"/>
          <w:sz w:val="32"/>
          <w:szCs w:val="32"/>
        </w:rPr>
        <w:t>。</w:t>
      </w:r>
    </w:p>
    <w:p>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（三）年末结转和结余0万元。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较上年相比减少2.44万元，下降100%，主要是本年国库集中支付结余核算方式发生改变，由权责发生制变为收付实现制。</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2021年度财政拨款支出356.3万元，其中：基本支出331.61万元，项目支出24.69万元。与</w:t>
      </w:r>
      <w:r>
        <w:rPr>
          <w:rFonts w:ascii="仿宋_GB2312" w:hAnsi="宋体" w:eastAsia="仿宋_GB2312"/>
          <w:sz w:val="32"/>
          <w:szCs w:val="32"/>
        </w:rPr>
        <w:t>上年相比，</w:t>
      </w:r>
      <w:r>
        <w:rPr>
          <w:rFonts w:hint="eastAsia" w:ascii="仿宋_GB2312" w:hAnsi="宋体" w:eastAsia="仿宋_GB2312"/>
          <w:sz w:val="32"/>
          <w:szCs w:val="32"/>
        </w:rPr>
        <w:t>财政拨款支出增加36.73万元，增长11.49%，主要原因：</w:t>
      </w:r>
      <w:r>
        <w:rPr>
          <w:rFonts w:hint="eastAsia" w:ascii="仿宋" w:hAnsi="仿宋" w:eastAsia="仿宋"/>
          <w:sz w:val="32"/>
          <w:szCs w:val="32"/>
        </w:rPr>
        <w:t>人员支出增加</w:t>
      </w:r>
      <w:r>
        <w:rPr>
          <w:rFonts w:hint="eastAsia" w:ascii="仿宋_GB2312" w:hAnsi="宋体" w:eastAsia="仿宋_GB2312"/>
          <w:sz w:val="32"/>
          <w:szCs w:val="32"/>
        </w:rPr>
        <w:t>。与年初预算相比，2021年度财政拨款支出完成年初预算的135.35%，其中：基本支出完成年初预算的137.17%，项目完成年初预算的114.84%。</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（二）一般公共预算财政拨款支出情况。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2021年度一般公共预算财政拨款支出356.3万元，按支出功能分类科目分，包括：一般公共服务支出297.36万元，占83.46</w:t>
      </w:r>
      <w:r>
        <w:rPr>
          <w:rFonts w:ascii="仿宋_GB2312" w:hAnsi="宋体" w:eastAsia="仿宋_GB2312"/>
          <w:sz w:val="32"/>
          <w:szCs w:val="32"/>
        </w:rPr>
        <w:t>%</w:t>
      </w:r>
      <w:r>
        <w:rPr>
          <w:rFonts w:hint="eastAsia" w:ascii="仿宋_GB2312" w:hAnsi="宋体" w:eastAsia="仿宋_GB2312"/>
          <w:sz w:val="32"/>
          <w:szCs w:val="32"/>
        </w:rPr>
        <w:t>；社会保障和就业支出29.45万元，占8.27</w:t>
      </w:r>
      <w:r>
        <w:rPr>
          <w:rFonts w:ascii="仿宋_GB2312" w:hAnsi="宋体" w:eastAsia="仿宋_GB2312"/>
          <w:sz w:val="32"/>
          <w:szCs w:val="32"/>
        </w:rPr>
        <w:t>%</w:t>
      </w:r>
      <w:r>
        <w:rPr>
          <w:rFonts w:hint="eastAsia" w:ascii="仿宋_GB2312" w:hAnsi="宋体" w:eastAsia="仿宋_GB2312"/>
          <w:sz w:val="32"/>
          <w:szCs w:val="32"/>
        </w:rPr>
        <w:t>；卫生健康支出9.69万元，占2.72</w:t>
      </w:r>
      <w:r>
        <w:rPr>
          <w:rFonts w:ascii="仿宋_GB2312" w:hAnsi="宋体" w:eastAsia="仿宋_GB2312"/>
          <w:sz w:val="32"/>
          <w:szCs w:val="32"/>
        </w:rPr>
        <w:t>%</w:t>
      </w:r>
      <w:r>
        <w:rPr>
          <w:rFonts w:hint="eastAsia" w:ascii="仿宋_GB2312" w:hAnsi="宋体" w:eastAsia="仿宋_GB2312"/>
          <w:sz w:val="32"/>
          <w:szCs w:val="32"/>
        </w:rPr>
        <w:t>；住房保障支出16.61万元，占4.66</w:t>
      </w:r>
      <w:r>
        <w:rPr>
          <w:rFonts w:ascii="仿宋_GB2312" w:hAnsi="宋体" w:eastAsia="仿宋_GB2312"/>
          <w:sz w:val="32"/>
          <w:szCs w:val="32"/>
        </w:rPr>
        <w:t>%</w:t>
      </w:r>
      <w:r>
        <w:rPr>
          <w:rFonts w:hint="eastAsia" w:ascii="仿宋_GB2312" w:hAnsi="宋体" w:eastAsia="仿宋_GB2312"/>
          <w:sz w:val="32"/>
          <w:szCs w:val="32"/>
        </w:rPr>
        <w:t>；其他支出3.19万元，占0.9%。</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1.一般公共服务支出297.36万元，具体包括：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w:t>
      </w:r>
      <w:r>
        <w:rPr>
          <w:rFonts w:hint="eastAsia" w:ascii="仿宋" w:hAnsi="仿宋" w:eastAsia="仿宋"/>
          <w:sz w:val="32"/>
          <w:szCs w:val="32"/>
        </w:rPr>
        <w:t>一般公共服务支出（类）党委办公厅（室）及相关机构事务（款）行政运行（项）275.86万元，主要是</w:t>
      </w:r>
      <w:r>
        <w:rPr>
          <w:rFonts w:hint="eastAsia" w:ascii="仿宋_GB2312" w:hAnsi="宋体" w:eastAsia="仿宋_GB2312"/>
          <w:sz w:val="32"/>
          <w:szCs w:val="32"/>
        </w:rPr>
        <w:t>人员工资、人员公用经费</w:t>
      </w:r>
      <w:r>
        <w:rPr>
          <w:rFonts w:hint="eastAsia" w:ascii="仿宋" w:hAnsi="仿宋" w:eastAsia="仿宋"/>
          <w:sz w:val="32"/>
          <w:szCs w:val="32"/>
        </w:rPr>
        <w:t>等支出，完成年初预算的148.17%，决算数大于年初预算数的原因主要是</w:t>
      </w:r>
      <w:r>
        <w:rPr>
          <w:rFonts w:hint="eastAsia" w:ascii="仿宋_GB2312" w:hAnsi="宋体" w:eastAsia="仿宋_GB2312"/>
          <w:sz w:val="32"/>
          <w:szCs w:val="32"/>
        </w:rPr>
        <w:t>绩效奖发放和人员经费增加。</w:t>
      </w:r>
    </w:p>
    <w:p>
      <w:pPr>
        <w:spacing w:line="540" w:lineRule="exact"/>
        <w:ind w:firstLine="660"/>
        <w:rPr>
          <w:rFonts w:ascii="仿宋" w:hAnsi="仿宋" w:eastAsia="仿宋"/>
          <w:sz w:val="32"/>
          <w:szCs w:val="32"/>
        </w:rPr>
      </w:pPr>
      <w:r>
        <w:rPr>
          <w:rFonts w:hint="eastAsia" w:ascii="仿宋_GB2312" w:hAnsi="宋体" w:eastAsia="仿宋_GB2312"/>
          <w:sz w:val="32"/>
          <w:szCs w:val="32"/>
        </w:rPr>
        <w:t>（2）</w:t>
      </w:r>
      <w:r>
        <w:rPr>
          <w:rFonts w:hint="eastAsia" w:ascii="仿宋" w:hAnsi="仿宋" w:eastAsia="仿宋"/>
          <w:sz w:val="32"/>
          <w:szCs w:val="32"/>
        </w:rPr>
        <w:t>一般公共服务支出（类）党委办公厅（室）及相关机构事务（款）一般行政管理事务（项）21.5万元，主要是项目支出，完成年初预算的100%。</w:t>
      </w:r>
    </w:p>
    <w:p>
      <w:pPr>
        <w:spacing w:line="540" w:lineRule="exact"/>
        <w:ind w:firstLine="660"/>
        <w:rPr>
          <w:rFonts w:ascii="仿宋" w:hAnsi="仿宋" w:eastAsia="仿宋"/>
          <w:sz w:val="32"/>
          <w:szCs w:val="32"/>
        </w:rPr>
      </w:pPr>
      <w:r>
        <w:rPr>
          <w:rFonts w:hint="eastAsia" w:ascii="仿宋_GB2312" w:hAnsi="宋体" w:eastAsia="仿宋_GB2312"/>
          <w:sz w:val="32"/>
          <w:szCs w:val="32"/>
        </w:rPr>
        <w:t>2.</w:t>
      </w:r>
      <w:r>
        <w:rPr>
          <w:rFonts w:hint="eastAsia" w:ascii="仿宋" w:hAnsi="仿宋" w:eastAsia="仿宋"/>
          <w:sz w:val="32"/>
          <w:szCs w:val="32"/>
        </w:rPr>
        <w:t>社会保障和就业支出29.54，具体包括：</w:t>
      </w:r>
    </w:p>
    <w:p>
      <w:pPr>
        <w:spacing w:line="540" w:lineRule="exact"/>
        <w:ind w:firstLine="660"/>
        <w:rPr>
          <w:rFonts w:ascii="仿宋" w:hAnsi="仿宋" w:eastAsia="仿宋"/>
          <w:sz w:val="32"/>
          <w:szCs w:val="32"/>
        </w:rPr>
      </w:pPr>
      <w:r>
        <w:rPr>
          <w:rFonts w:hint="eastAsia" w:ascii="仿宋" w:hAnsi="仿宋" w:eastAsia="仿宋"/>
          <w:sz w:val="32"/>
          <w:szCs w:val="32"/>
        </w:rPr>
        <w:t>（1）社会保障和就业支出（类）行政事业单位养老支出（款）行政单位离退休（项）5.54万元，主要是退休人员公用经费等，完成年初预算的100%。</w:t>
      </w:r>
    </w:p>
    <w:p>
      <w:pPr>
        <w:spacing w:line="540" w:lineRule="exact"/>
        <w:ind w:firstLine="660"/>
        <w:rPr>
          <w:rFonts w:ascii="仿宋" w:hAnsi="仿宋" w:eastAsia="仿宋"/>
          <w:sz w:val="32"/>
          <w:szCs w:val="32"/>
        </w:rPr>
      </w:pPr>
      <w:r>
        <w:rPr>
          <w:rFonts w:hint="eastAsia" w:ascii="仿宋" w:hAnsi="仿宋" w:eastAsia="仿宋"/>
          <w:sz w:val="32"/>
          <w:szCs w:val="32"/>
        </w:rPr>
        <w:t>（2）社会保障和就业支出（类）行政事业单位养老支出（款）机关事业单位基本养老保险缴费支出（项）23.91万元，主要是人员养老保险缴费，完成年初预算的103.1%，决算数大于年初预算数的原因主要是</w:t>
      </w:r>
      <w:r>
        <w:rPr>
          <w:rFonts w:hint="eastAsia" w:ascii="仿宋_GB2312" w:hAnsi="宋体" w:eastAsia="仿宋_GB2312"/>
          <w:sz w:val="32"/>
          <w:szCs w:val="32"/>
        </w:rPr>
        <w:t>人员保险调整</w:t>
      </w:r>
      <w:r>
        <w:rPr>
          <w:rFonts w:hint="eastAsia" w:ascii="仿宋" w:hAnsi="仿宋" w:eastAsia="仿宋"/>
          <w:sz w:val="32"/>
          <w:szCs w:val="32"/>
        </w:rPr>
        <w:t>。</w:t>
      </w:r>
    </w:p>
    <w:p>
      <w:pPr>
        <w:spacing w:line="540" w:lineRule="exact"/>
        <w:ind w:firstLine="660"/>
        <w:rPr>
          <w:rFonts w:ascii="仿宋" w:hAnsi="仿宋" w:eastAsia="仿宋"/>
          <w:sz w:val="32"/>
          <w:szCs w:val="32"/>
        </w:rPr>
      </w:pPr>
      <w:r>
        <w:rPr>
          <w:rFonts w:hint="eastAsia" w:ascii="仿宋" w:hAnsi="仿宋" w:eastAsia="仿宋"/>
          <w:sz w:val="32"/>
          <w:szCs w:val="32"/>
        </w:rPr>
        <w:t>3.卫生健康支出9.69万元，具体包括：</w:t>
      </w:r>
    </w:p>
    <w:p>
      <w:pPr>
        <w:spacing w:line="540" w:lineRule="exact"/>
        <w:ind w:firstLine="660"/>
        <w:rPr>
          <w:rFonts w:ascii="仿宋" w:hAnsi="仿宋" w:eastAsia="仿宋"/>
          <w:sz w:val="32"/>
          <w:szCs w:val="32"/>
        </w:rPr>
      </w:pPr>
      <w:r>
        <w:rPr>
          <w:rFonts w:hint="eastAsia" w:ascii="仿宋" w:hAnsi="仿宋" w:eastAsia="仿宋"/>
          <w:sz w:val="32"/>
          <w:szCs w:val="32"/>
        </w:rPr>
        <w:t>（1）卫生健康支出（类）行政事业单位医疗（款）行政单位医疗（项）9.6万元，主要是人员医疗保险缴费，完成年初预算的94.58%，决算数小于年初预算数的原因主要是</w:t>
      </w:r>
      <w:r>
        <w:rPr>
          <w:rFonts w:hint="eastAsia" w:ascii="仿宋_GB2312" w:hAnsi="宋体" w:eastAsia="仿宋_GB2312"/>
          <w:sz w:val="32"/>
          <w:szCs w:val="32"/>
        </w:rPr>
        <w:t>人员保险待缴</w:t>
      </w:r>
      <w:r>
        <w:rPr>
          <w:rFonts w:hint="eastAsia" w:ascii="仿宋" w:hAnsi="仿宋" w:eastAsia="仿宋"/>
          <w:sz w:val="32"/>
          <w:szCs w:val="32"/>
        </w:rPr>
        <w:t>。</w:t>
      </w:r>
    </w:p>
    <w:p>
      <w:pPr>
        <w:spacing w:line="540" w:lineRule="exact"/>
        <w:ind w:firstLine="660"/>
        <w:rPr>
          <w:rFonts w:ascii="仿宋" w:hAnsi="仿宋" w:eastAsia="仿宋"/>
          <w:sz w:val="32"/>
          <w:szCs w:val="32"/>
        </w:rPr>
      </w:pPr>
      <w:r>
        <w:rPr>
          <w:rFonts w:hint="eastAsia" w:ascii="仿宋" w:hAnsi="仿宋" w:eastAsia="仿宋"/>
          <w:sz w:val="32"/>
          <w:szCs w:val="32"/>
        </w:rPr>
        <w:t>（2）卫生健康支出（类）行政事业单位医疗（款）其他行政事业单位医疗支出（项）0.09万元，主要是人员大额医疗保险缴费，完成年初预算的100%。</w:t>
      </w:r>
    </w:p>
    <w:p>
      <w:pPr>
        <w:spacing w:line="540" w:lineRule="exact"/>
        <w:ind w:firstLine="660"/>
        <w:rPr>
          <w:rFonts w:ascii="仿宋" w:hAnsi="仿宋" w:eastAsia="仿宋"/>
          <w:sz w:val="32"/>
          <w:szCs w:val="32"/>
        </w:rPr>
      </w:pPr>
      <w:r>
        <w:rPr>
          <w:rFonts w:hint="eastAsia" w:ascii="仿宋" w:hAnsi="仿宋" w:eastAsia="仿宋"/>
          <w:sz w:val="32"/>
          <w:szCs w:val="32"/>
        </w:rPr>
        <w:t>4.住房保障支出16.61万元，具体包括：</w:t>
      </w:r>
    </w:p>
    <w:p>
      <w:pPr>
        <w:spacing w:line="540" w:lineRule="exact"/>
        <w:ind w:firstLine="660"/>
        <w:rPr>
          <w:rFonts w:ascii="仿宋" w:hAnsi="仿宋" w:eastAsia="仿宋"/>
          <w:sz w:val="32"/>
          <w:szCs w:val="32"/>
        </w:rPr>
      </w:pPr>
      <w:r>
        <w:rPr>
          <w:rFonts w:ascii="仿宋" w:hAnsi="仿宋" w:eastAsia="仿宋"/>
          <w:sz w:val="32"/>
          <w:szCs w:val="32"/>
        </w:rPr>
        <w:t>住房保障支出</w:t>
      </w:r>
      <w:r>
        <w:rPr>
          <w:rFonts w:hint="eastAsia" w:ascii="仿宋" w:hAnsi="仿宋" w:eastAsia="仿宋"/>
          <w:sz w:val="32"/>
          <w:szCs w:val="32"/>
        </w:rPr>
        <w:t>（类）</w:t>
      </w:r>
      <w:r>
        <w:rPr>
          <w:rFonts w:ascii="仿宋" w:hAnsi="仿宋" w:eastAsia="仿宋"/>
          <w:sz w:val="32"/>
          <w:szCs w:val="32"/>
        </w:rPr>
        <w:t>住房改革支出</w:t>
      </w:r>
      <w:r>
        <w:rPr>
          <w:rFonts w:hint="eastAsia" w:ascii="仿宋" w:hAnsi="仿宋" w:eastAsia="仿宋"/>
          <w:sz w:val="32"/>
          <w:szCs w:val="32"/>
        </w:rPr>
        <w:t>（款）</w:t>
      </w:r>
      <w:r>
        <w:rPr>
          <w:rFonts w:ascii="仿宋" w:hAnsi="仿宋" w:eastAsia="仿宋"/>
          <w:sz w:val="32"/>
          <w:szCs w:val="32"/>
        </w:rPr>
        <w:t>住房公积金</w:t>
      </w:r>
      <w:r>
        <w:rPr>
          <w:rFonts w:hint="eastAsia" w:ascii="仿宋" w:hAnsi="仿宋" w:eastAsia="仿宋"/>
          <w:sz w:val="32"/>
          <w:szCs w:val="32"/>
        </w:rPr>
        <w:t>（项）16.61万元，主要是人员住房公积金缴费，完成年初预算的100.48%，决算数大于年初预算数的原因主要是</w:t>
      </w:r>
      <w:r>
        <w:rPr>
          <w:rFonts w:hint="eastAsia" w:ascii="仿宋_GB2312" w:hAnsi="宋体" w:eastAsia="仿宋_GB2312"/>
          <w:sz w:val="32"/>
          <w:szCs w:val="32"/>
        </w:rPr>
        <w:t>人员公积金调整</w:t>
      </w:r>
      <w:r>
        <w:rPr>
          <w:rFonts w:hint="eastAsia" w:ascii="仿宋" w:hAnsi="仿宋" w:eastAsia="仿宋"/>
          <w:sz w:val="32"/>
          <w:szCs w:val="32"/>
        </w:rPr>
        <w:t>。</w:t>
      </w:r>
    </w:p>
    <w:p>
      <w:pPr>
        <w:spacing w:line="540" w:lineRule="exact"/>
        <w:ind w:firstLine="660"/>
        <w:rPr>
          <w:rFonts w:ascii="仿宋" w:hAnsi="仿宋" w:eastAsia="仿宋"/>
          <w:sz w:val="32"/>
          <w:szCs w:val="32"/>
        </w:rPr>
      </w:pPr>
      <w:r>
        <w:rPr>
          <w:rFonts w:hint="eastAsia" w:ascii="仿宋" w:hAnsi="仿宋" w:eastAsia="仿宋"/>
          <w:sz w:val="32"/>
          <w:szCs w:val="32"/>
        </w:rPr>
        <w:t>5.其他支出3.19万元（涉密）。</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spacing w:line="540" w:lineRule="exact"/>
        <w:ind w:firstLine="660"/>
        <w:rPr>
          <w:rFonts w:ascii="仿宋" w:hAnsi="仿宋" w:eastAsia="仿宋"/>
          <w:sz w:val="32"/>
          <w:szCs w:val="32"/>
        </w:rPr>
      </w:pPr>
      <w:r>
        <w:rPr>
          <w:rFonts w:hint="eastAsia" w:ascii="仿宋_GB2312" w:hAnsi="宋体" w:eastAsia="仿宋_GB2312"/>
          <w:sz w:val="32"/>
          <w:szCs w:val="32"/>
        </w:rPr>
        <w:t>2021年度政府性基金预算财政拨款支出0万元，</w:t>
      </w:r>
      <w:r>
        <w:rPr>
          <w:rFonts w:hint="eastAsia" w:ascii="仿宋" w:hAnsi="仿宋" w:eastAsia="仿宋"/>
          <w:sz w:val="32"/>
          <w:szCs w:val="32"/>
        </w:rPr>
        <w:t>中共盘锦市直属机关工作委员会2021年度无政府性基金预算财政拨款支出，无此类资金收支余。</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spacing w:line="540" w:lineRule="exact"/>
        <w:ind w:firstLine="660"/>
        <w:rPr>
          <w:rFonts w:ascii="仿宋" w:hAnsi="仿宋" w:eastAsia="仿宋"/>
          <w:sz w:val="32"/>
          <w:szCs w:val="32"/>
        </w:rPr>
      </w:pPr>
      <w:r>
        <w:rPr>
          <w:rFonts w:hint="eastAsia" w:ascii="仿宋_GB2312" w:hAnsi="宋体" w:eastAsia="仿宋_GB2312"/>
          <w:sz w:val="32"/>
          <w:szCs w:val="32"/>
        </w:rPr>
        <w:t>2021年度国有资本经营预算财政拨款支出0万元，</w:t>
      </w:r>
      <w:r>
        <w:rPr>
          <w:rFonts w:hint="eastAsia" w:ascii="仿宋" w:hAnsi="仿宋" w:eastAsia="仿宋"/>
          <w:sz w:val="32"/>
          <w:szCs w:val="32"/>
        </w:rPr>
        <w:t>中共盘锦市直属机关工作委员会2021年度无国有资本经营预算财政拨款支出，无此类资金收支余。</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安排的“三公”经费支出1.31万元，完成年初预算的26.2%，决算数小于预算数的原因是厉行节约、改进工作作风，压减支出规模；较上年比减少0.03万元，下降2.24%,主要原因是厉行节约、改进工作作风，压减支出规模。其中：因公出国（境）费0万元，公务接待费0万元，公务用车购置及运行维护费1.31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1.因公出国（境）费0万元，占“三公”经费支出的0%。完成年初预算的0%，</w:t>
      </w:r>
      <w:r>
        <w:rPr>
          <w:rFonts w:hint="eastAsia" w:ascii="仿宋" w:hAnsi="仿宋" w:eastAsia="仿宋"/>
          <w:sz w:val="32"/>
          <w:szCs w:val="32"/>
        </w:rPr>
        <w:t>决算数与年初预算数相等，均为0，主要原因是年初未做预算，本年无因公出国（境）支出。2021年参加出国（境）团组0个，累计0人次，未参加任何团组。2020年因公出国（境）费比上年增加0万元，增长0%，均为0，无任何变动，主要原因是2021年和2020年本单位均未发生因公出国事项，无因公出国（境）支出</w:t>
      </w:r>
      <w:r>
        <w:rPr>
          <w:rFonts w:hint="eastAsia" w:ascii="仿宋_GB2312" w:hAnsi="宋体" w:eastAsia="仿宋_GB2312"/>
          <w:sz w:val="32"/>
          <w:szCs w:val="32"/>
        </w:rPr>
        <w:t>。</w:t>
      </w:r>
    </w:p>
    <w:p>
      <w:pPr>
        <w:spacing w:line="540" w:lineRule="exact"/>
        <w:ind w:firstLine="645"/>
        <w:rPr>
          <w:rFonts w:ascii="仿宋" w:hAnsi="仿宋" w:eastAsia="仿宋"/>
          <w:sz w:val="32"/>
          <w:szCs w:val="32"/>
        </w:rPr>
      </w:pPr>
      <w:r>
        <w:rPr>
          <w:rFonts w:hint="eastAsia" w:ascii="仿宋_GB2312" w:hAnsi="宋体" w:eastAsia="仿宋_GB2312"/>
          <w:sz w:val="32"/>
          <w:szCs w:val="32"/>
        </w:rPr>
        <w:t>2.</w:t>
      </w:r>
      <w:r>
        <w:rPr>
          <w:rFonts w:hint="eastAsia" w:ascii="仿宋" w:hAnsi="仿宋" w:eastAsia="仿宋"/>
          <w:sz w:val="32"/>
          <w:szCs w:val="32"/>
        </w:rPr>
        <w:t>公务接待费0万元，占“三公”经费支出的0%。完成年初预算的0%，决算数与年初预算数相等，均为0万元，主要原因是年初未做预算，本年未发生公务接待事项。2021年国内公务接待累计0批次、0人、0万元，无国内公务接待支出事项和用途；其中外事接待累计0批次、0人、0万元，无外事接待支出事项和用途。2021年公务接待费比上年增加0万元，增长0%，均为0，无任何变动，主要是2021、2020两年无公务接待事宜支出。</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1.31万元，占“三公”经费支出的100%。完成年初预算的26.2%，决算数小于年初预算数的主要原因是厉行节约、改进工作作风，压减支出规模</w:t>
      </w:r>
      <w:r>
        <w:rPr>
          <w:rFonts w:hint="eastAsia" w:ascii="仿宋" w:hAnsi="仿宋" w:eastAsia="仿宋"/>
          <w:sz w:val="32"/>
          <w:szCs w:val="32"/>
        </w:rPr>
        <w:t>等</w:t>
      </w:r>
      <w:r>
        <w:rPr>
          <w:rFonts w:hint="eastAsia" w:ascii="仿宋_GB2312" w:hAnsi="宋体" w:eastAsia="仿宋_GB2312"/>
          <w:sz w:val="32"/>
          <w:szCs w:val="32"/>
        </w:rPr>
        <w:t>。比上年减少0.03万元，下降2.24%，主要是厉行节约、改进工作作风，压减支出规模等原因。</w:t>
      </w:r>
    </w:p>
    <w:p>
      <w:pPr>
        <w:spacing w:line="540" w:lineRule="exact"/>
        <w:ind w:firstLine="645"/>
        <w:rPr>
          <w:rFonts w:ascii="仿宋" w:hAnsi="仿宋" w:eastAsia="仿宋"/>
          <w:sz w:val="32"/>
          <w:szCs w:val="32"/>
        </w:rPr>
      </w:pPr>
      <w:r>
        <w:rPr>
          <w:rFonts w:hint="eastAsia" w:ascii="仿宋_GB2312" w:hAnsi="宋体" w:eastAsia="仿宋_GB2312"/>
          <w:sz w:val="32"/>
          <w:szCs w:val="32"/>
        </w:rPr>
        <w:t>其中：</w:t>
      </w:r>
      <w:r>
        <w:rPr>
          <w:rFonts w:hint="eastAsia" w:ascii="仿宋" w:hAnsi="仿宋" w:eastAsia="仿宋"/>
          <w:sz w:val="32"/>
          <w:szCs w:val="32"/>
        </w:rPr>
        <w:t>公务用车购置费0万元,本年无公务用车购置支出，当年购置公务用车0辆。公务用车运行维护费1.31万元，主要用于</w:t>
      </w:r>
      <w:r>
        <w:rPr>
          <w:rFonts w:hint="eastAsia" w:ascii="仿宋_GB2312" w:hAnsi="宋体" w:eastAsia="仿宋_GB2312"/>
          <w:sz w:val="32"/>
          <w:szCs w:val="32"/>
        </w:rPr>
        <w:t>车辆加油、保险</w:t>
      </w:r>
      <w:r>
        <w:rPr>
          <w:rFonts w:hint="eastAsia" w:ascii="仿宋" w:hAnsi="仿宋" w:eastAsia="仿宋"/>
          <w:sz w:val="32"/>
          <w:szCs w:val="32"/>
        </w:rPr>
        <w:t>等，截至年末使用</w:t>
      </w:r>
      <w:r>
        <w:rPr>
          <w:rFonts w:ascii="仿宋" w:hAnsi="仿宋" w:eastAsia="仿宋"/>
          <w:sz w:val="32"/>
          <w:szCs w:val="32"/>
        </w:rPr>
        <w:t>一般公共预算财政拨款开支</w:t>
      </w:r>
      <w:r>
        <w:rPr>
          <w:rFonts w:hint="eastAsia" w:ascii="仿宋" w:hAnsi="仿宋" w:eastAsia="仿宋"/>
          <w:sz w:val="32"/>
          <w:szCs w:val="32"/>
        </w:rPr>
        <w:t>运行维护费</w:t>
      </w:r>
      <w:r>
        <w:rPr>
          <w:rFonts w:ascii="仿宋" w:hAnsi="仿宋" w:eastAsia="仿宋"/>
          <w:sz w:val="32"/>
          <w:szCs w:val="32"/>
        </w:rPr>
        <w:t>的</w:t>
      </w:r>
      <w:r>
        <w:rPr>
          <w:rFonts w:hint="eastAsia" w:ascii="仿宋" w:hAnsi="仿宋" w:eastAsia="仿宋"/>
          <w:sz w:val="32"/>
          <w:szCs w:val="32"/>
        </w:rPr>
        <w:t>公务用车保有量1辆。</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 w:hAnsi="仿宋" w:eastAsia="仿宋"/>
          <w:sz w:val="32"/>
          <w:szCs w:val="32"/>
        </w:rPr>
      </w:pPr>
      <w:r>
        <w:rPr>
          <w:rFonts w:hint="eastAsia" w:ascii="仿宋_GB2312" w:hAnsi="宋体" w:eastAsia="仿宋_GB2312"/>
          <w:sz w:val="32"/>
          <w:szCs w:val="32"/>
        </w:rPr>
        <w:t>2021年度一般公共预算财政拨款基本支出331.6万元，其中：</w:t>
      </w:r>
      <w:r>
        <w:rPr>
          <w:rFonts w:hint="eastAsia" w:ascii="仿宋" w:hAnsi="仿宋" w:eastAsia="仿宋"/>
          <w:sz w:val="32"/>
          <w:szCs w:val="32"/>
        </w:rPr>
        <w:t>人员经费293.35万元，主要包括基本工资、津贴补贴、奖金、其他社会保障缴费、机关事业单位基本养老保险缴费、其他工资福利支出、退休费、生活补助、奖励金、住房公积金、采暖补贴、其他对个人和家庭补助的支出；日常公用经费38.25万元，主要包括办公费、印刷费、手续费、邮电费、取暖费、差旅费、培训费、劳务费、工会经费、公务用车运行维护费、其他交通费用、其他商品和服务支出、办公设备购置。</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2021年机关运行经费支出38.25万元，比上年增加2.64万元，增长7.4%，主要原因是</w:t>
      </w:r>
      <w:r>
        <w:rPr>
          <w:rFonts w:hint="eastAsia" w:ascii="仿宋_GB2312" w:hAnsi="宋体" w:eastAsia="仿宋_GB2312"/>
          <w:sz w:val="32"/>
          <w:szCs w:val="32"/>
        </w:rPr>
        <w:t>厉行节约、改进工作作风，压减支出规模</w:t>
      </w:r>
      <w:r>
        <w:rPr>
          <w:rFonts w:hint="eastAsia" w:ascii="仿宋" w:hAnsi="仿宋" w:eastAsia="仿宋"/>
          <w:sz w:val="32"/>
          <w:szCs w:val="32"/>
        </w:rPr>
        <w:t>。具体支出明细：办公费5.74万元、手续费0.01万元、邮电费2.04万元、差旅费1.44万元、劳务费3万元、工会经费2.75万元、公务用车运行维护费1.31万元、其他交通费用16.49万元、其他商品和服务支出1.75万元、办公设备购置3.72万元。</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2021年政府采购支出总额0万元，其中：政府采购货物支出0万元，政府采购工程支出0万元，政府采购服务支出0万元。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政府采购支出总额的0%；货物采购授予中小企业合同金额占货物支出金额的0%；工程采购授予中小企业合同金额占工程支出金额的0%；服务采购授予中小企业合同金额占服务支出金额的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截至2020年12月31日。</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1.房屋情况：部门房屋面积0平方米，价值0万元，其中：办公用房面积0平方米，价值0万元；业务用房面积0平方米，价值0万元；其他（不含构筑物）面积0平方米，价值0万元。</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2.车辆情况：共有车辆1辆，其中：副省级以上领导干部用车0辆，主要</w:t>
      </w:r>
      <w:r>
        <w:rPr>
          <w:rFonts w:ascii="仿宋" w:hAnsi="仿宋" w:eastAsia="仿宋"/>
          <w:sz w:val="32"/>
          <w:szCs w:val="32"/>
        </w:rPr>
        <w:t>领导干部</w:t>
      </w:r>
      <w:r>
        <w:rPr>
          <w:rFonts w:hint="eastAsia" w:ascii="仿宋" w:hAnsi="仿宋" w:eastAsia="仿宋"/>
          <w:sz w:val="32"/>
          <w:szCs w:val="32"/>
        </w:rPr>
        <w:t>用车0辆，机要通讯用车1辆，应急</w:t>
      </w:r>
      <w:r>
        <w:rPr>
          <w:rFonts w:ascii="仿宋" w:hAnsi="仿宋" w:eastAsia="仿宋"/>
          <w:sz w:val="32"/>
          <w:szCs w:val="32"/>
        </w:rPr>
        <w:t>保障用车</w:t>
      </w:r>
      <w:r>
        <w:rPr>
          <w:rFonts w:hint="eastAsia" w:ascii="仿宋" w:hAnsi="仿宋" w:eastAsia="仿宋"/>
          <w:sz w:val="32"/>
          <w:szCs w:val="32"/>
        </w:rPr>
        <w:t>0</w:t>
      </w:r>
      <w:r>
        <w:rPr>
          <w:rFonts w:ascii="仿宋" w:hAnsi="仿宋" w:eastAsia="仿宋"/>
          <w:sz w:val="32"/>
          <w:szCs w:val="32"/>
        </w:rPr>
        <w:t>辆，</w:t>
      </w:r>
      <w:r>
        <w:rPr>
          <w:rFonts w:hint="eastAsia" w:ascii="仿宋" w:hAnsi="仿宋" w:eastAsia="仿宋"/>
          <w:sz w:val="32"/>
          <w:szCs w:val="32"/>
        </w:rPr>
        <w:t>执法执勤</w:t>
      </w:r>
      <w:r>
        <w:rPr>
          <w:rFonts w:ascii="仿宋" w:hAnsi="仿宋" w:eastAsia="仿宋"/>
          <w:sz w:val="32"/>
          <w:szCs w:val="32"/>
        </w:rPr>
        <w:t>用车</w:t>
      </w:r>
      <w:r>
        <w:rPr>
          <w:rFonts w:hint="eastAsia" w:ascii="仿宋" w:hAnsi="仿宋" w:eastAsia="仿宋"/>
          <w:sz w:val="32"/>
          <w:szCs w:val="32"/>
        </w:rPr>
        <w:t>0辆</w:t>
      </w:r>
      <w:r>
        <w:rPr>
          <w:rFonts w:ascii="仿宋" w:hAnsi="仿宋" w:eastAsia="仿宋"/>
          <w:sz w:val="32"/>
          <w:szCs w:val="32"/>
        </w:rPr>
        <w:t>，</w:t>
      </w:r>
      <w:r>
        <w:rPr>
          <w:rFonts w:hint="eastAsia" w:ascii="仿宋" w:hAnsi="仿宋" w:eastAsia="仿宋"/>
          <w:sz w:val="32"/>
          <w:szCs w:val="32"/>
        </w:rPr>
        <w:t>特种专业技术用车0辆，离退休</w:t>
      </w:r>
      <w:r>
        <w:rPr>
          <w:rFonts w:ascii="仿宋" w:hAnsi="仿宋" w:eastAsia="仿宋"/>
          <w:sz w:val="32"/>
          <w:szCs w:val="32"/>
        </w:rPr>
        <w:t>干部用车</w:t>
      </w:r>
      <w:r>
        <w:rPr>
          <w:rFonts w:hint="eastAsia" w:ascii="仿宋" w:hAnsi="仿宋" w:eastAsia="仿宋"/>
          <w:sz w:val="32"/>
          <w:szCs w:val="32"/>
        </w:rPr>
        <w:t>0辆</w:t>
      </w:r>
      <w:r>
        <w:rPr>
          <w:rFonts w:ascii="仿宋" w:hAnsi="仿宋" w:eastAsia="仿宋"/>
          <w:sz w:val="32"/>
          <w:szCs w:val="32"/>
        </w:rPr>
        <w:t>，</w:t>
      </w:r>
      <w:r>
        <w:rPr>
          <w:rFonts w:hint="eastAsia" w:ascii="仿宋" w:hAnsi="仿宋" w:eastAsia="仿宋"/>
          <w:sz w:val="32"/>
          <w:szCs w:val="32"/>
        </w:rPr>
        <w:t>其他用车0辆；</w:t>
      </w:r>
    </w:p>
    <w:p>
      <w:pPr>
        <w:spacing w:line="540" w:lineRule="exact"/>
        <w:ind w:firstLine="640" w:firstLineChars="200"/>
        <w:rPr>
          <w:rFonts w:ascii="仿宋" w:hAnsi="仿宋" w:eastAsia="仿宋"/>
          <w:sz w:val="32"/>
          <w:szCs w:val="32"/>
        </w:rPr>
      </w:pPr>
      <w:r>
        <w:rPr>
          <w:rFonts w:hint="eastAsia" w:ascii="仿宋_GB2312" w:hAnsi="黑体" w:eastAsia="仿宋_GB2312"/>
          <w:sz w:val="32"/>
          <w:szCs w:val="32"/>
        </w:rPr>
        <w:t>3.设备情况：</w:t>
      </w:r>
      <w:r>
        <w:rPr>
          <w:rFonts w:hint="eastAsia" w:ascii="仿宋" w:hAnsi="仿宋" w:eastAsia="仿宋"/>
          <w:sz w:val="32"/>
          <w:szCs w:val="32"/>
        </w:rPr>
        <w:t>单位价值50万元以上通用设备0台（套），单价100万元以上专用设备0台（套）。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1.预算绩效管理工作开展情况。</w:t>
      </w:r>
    </w:p>
    <w:p>
      <w:pPr>
        <w:widowControl/>
        <w:spacing w:line="520" w:lineRule="exact"/>
        <w:ind w:firstLine="643" w:firstLineChars="200"/>
        <w:jc w:val="left"/>
      </w:pPr>
      <w:r>
        <w:rPr>
          <w:rFonts w:hint="eastAsia" w:hAnsi="宋体" w:eastAsia="仿宋_GB2312" w:cs="仿宋_GB2312"/>
          <w:b/>
          <w:bCs/>
          <w:sz w:val="32"/>
          <w:szCs w:val="32"/>
        </w:rPr>
        <w:t>（1）绩效自评情况。</w:t>
      </w:r>
      <w:r>
        <w:rPr>
          <w:rFonts w:ascii="仿宋" w:hAnsi="仿宋" w:eastAsia="仿宋" w:cs="仿宋_GB2312"/>
          <w:sz w:val="32"/>
          <w:szCs w:val="32"/>
        </w:rPr>
        <w:t>根据预算</w:t>
      </w:r>
      <w:r>
        <w:rPr>
          <w:rFonts w:hint="eastAsia" w:ascii="仿宋" w:hAnsi="仿宋" w:eastAsia="仿宋" w:cs="仿宋_GB2312"/>
          <w:sz w:val="32"/>
          <w:szCs w:val="32"/>
        </w:rPr>
        <w:t>绩效</w:t>
      </w:r>
      <w:r>
        <w:rPr>
          <w:rFonts w:ascii="仿宋" w:hAnsi="仿宋" w:eastAsia="仿宋" w:cs="仿宋_GB2312"/>
          <w:sz w:val="32"/>
          <w:szCs w:val="32"/>
        </w:rPr>
        <w:t>管理要求，我</w:t>
      </w:r>
      <w:r>
        <w:rPr>
          <w:rFonts w:hint="eastAsia" w:ascii="仿宋" w:hAnsi="仿宋" w:eastAsia="仿宋" w:cs="仿宋_GB2312"/>
          <w:sz w:val="32"/>
          <w:szCs w:val="32"/>
        </w:rPr>
        <w:t>单位</w:t>
      </w:r>
      <w:r>
        <w:rPr>
          <w:rFonts w:ascii="仿宋" w:hAnsi="仿宋" w:eastAsia="仿宋" w:cs="仿宋_GB2312"/>
          <w:sz w:val="32"/>
          <w:szCs w:val="32"/>
        </w:rPr>
        <w:t>组织对</w:t>
      </w:r>
      <w:r>
        <w:rPr>
          <w:rFonts w:hint="eastAsia" w:ascii="仿宋" w:hAnsi="仿宋" w:eastAsia="仿宋" w:cs="宋体"/>
          <w:sz w:val="32"/>
          <w:szCs w:val="32"/>
        </w:rPr>
        <w:t>2020</w:t>
      </w:r>
      <w:r>
        <w:rPr>
          <w:rFonts w:hint="eastAsia" w:ascii="仿宋" w:hAnsi="仿宋" w:eastAsia="仿宋" w:cs="仿宋_GB2312"/>
          <w:sz w:val="32"/>
          <w:szCs w:val="32"/>
        </w:rPr>
        <w:t>年度预算项目支出全面开展绩效自评，共涉及预算支出项目4个，涉及资金21.5万元，自评覆盖率（开展绩效自评的项目数</w:t>
      </w:r>
      <w:r>
        <w:rPr>
          <w:rFonts w:hint="eastAsia" w:ascii="仿宋" w:hAnsi="仿宋" w:eastAsia="仿宋" w:cs="宋体"/>
          <w:sz w:val="32"/>
          <w:szCs w:val="32"/>
        </w:rPr>
        <w:t>/年初批复绩效目标的项目数）达到</w:t>
      </w:r>
      <w:r>
        <w:rPr>
          <w:rFonts w:hint="eastAsia" w:ascii="仿宋" w:hAnsi="仿宋" w:eastAsia="仿宋" w:cs="仿宋_GB2312"/>
          <w:sz w:val="32"/>
          <w:szCs w:val="32"/>
        </w:rPr>
        <w:t>100</w:t>
      </w:r>
      <w:r>
        <w:rPr>
          <w:rFonts w:hint="eastAsia" w:ascii="仿宋" w:hAnsi="仿宋" w:eastAsia="仿宋" w:cs="宋体"/>
          <w:sz w:val="32"/>
          <w:szCs w:val="32"/>
        </w:rPr>
        <w:t>%，自评平均分（开展绩效自评的项目分数总和/开展绩效自评的项目数）</w:t>
      </w:r>
      <w:r>
        <w:rPr>
          <w:rFonts w:hint="eastAsia" w:ascii="仿宋_GB2312" w:eastAsia="仿宋_GB2312"/>
          <w:color w:val="000000"/>
          <w:sz w:val="34"/>
          <w:szCs w:val="34"/>
        </w:rPr>
        <w:t>95</w:t>
      </w:r>
      <w:r>
        <w:rPr>
          <w:rFonts w:hint="eastAsia" w:ascii="仿宋" w:hAnsi="仿宋" w:eastAsia="仿宋" w:cs="仿宋_GB2312"/>
          <w:sz w:val="32"/>
          <w:szCs w:val="32"/>
        </w:rPr>
        <w:t>分;我单位开展整体绩效自评，涉及资金</w:t>
      </w:r>
      <w:r>
        <w:rPr>
          <w:rFonts w:hint="eastAsia" w:ascii="仿宋_GB2312" w:eastAsia="仿宋_GB2312"/>
          <w:color w:val="000000"/>
          <w:sz w:val="34"/>
          <w:szCs w:val="34"/>
        </w:rPr>
        <w:t>263.25</w:t>
      </w:r>
      <w:r>
        <w:rPr>
          <w:rFonts w:hint="eastAsia" w:ascii="仿宋" w:hAnsi="仿宋" w:eastAsia="仿宋" w:cs="仿宋_GB2312"/>
          <w:sz w:val="32"/>
          <w:szCs w:val="32"/>
        </w:rPr>
        <w:t>万元，自评平均分</w:t>
      </w:r>
      <w:r>
        <w:rPr>
          <w:rFonts w:hint="eastAsia" w:ascii="仿宋_GB2312" w:eastAsia="仿宋_GB2312"/>
          <w:color w:val="000000"/>
          <w:sz w:val="34"/>
          <w:szCs w:val="34"/>
        </w:rPr>
        <w:t>97.5</w:t>
      </w:r>
      <w:r>
        <w:rPr>
          <w:rFonts w:hint="eastAsia" w:ascii="仿宋" w:hAnsi="仿宋" w:eastAsia="仿宋" w:cs="仿宋_GB2312"/>
          <w:sz w:val="32"/>
          <w:szCs w:val="32"/>
        </w:rPr>
        <w:t>分。</w:t>
      </w:r>
      <w:r>
        <w:rPr>
          <w:rFonts w:hint="eastAsia" w:hAnsi="宋体" w:eastAsia="仿宋_GB2312" w:cs="仿宋_GB2312"/>
          <w:sz w:val="32"/>
          <w:szCs w:val="32"/>
        </w:rPr>
        <w:t>2021年度无特定目标类项目</w:t>
      </w:r>
      <w:r>
        <w:rPr>
          <w:rFonts w:hint="eastAsia" w:ascii="仿宋_GB2312" w:hAnsi="宋体" w:eastAsia="仿宋_GB2312" w:cs="仿宋_GB2312"/>
          <w:sz w:val="32"/>
          <w:szCs w:val="32"/>
        </w:rPr>
        <w:t>。</w:t>
      </w:r>
    </w:p>
    <w:p>
      <w:pPr>
        <w:widowControl/>
        <w:spacing w:line="520" w:lineRule="exact"/>
        <w:ind w:firstLine="643" w:firstLineChars="200"/>
        <w:jc w:val="left"/>
        <w:rPr>
          <w:rFonts w:hAnsi="宋体" w:eastAsia="仿宋_GB2312" w:cs="仿宋_GB2312"/>
          <w:sz w:val="32"/>
          <w:szCs w:val="32"/>
        </w:rPr>
      </w:pPr>
      <w:r>
        <w:rPr>
          <w:rFonts w:hint="eastAsia" w:hAnsi="宋体" w:eastAsia="仿宋_GB2312" w:cs="仿宋_GB2312"/>
          <w:b/>
          <w:bCs/>
          <w:sz w:val="32"/>
          <w:szCs w:val="32"/>
        </w:rPr>
        <w:t>（2）重点项目评价情况。</w:t>
      </w:r>
      <w:r>
        <w:rPr>
          <w:rFonts w:hint="eastAsia" w:hAnsi="宋体" w:eastAsia="仿宋_GB2312" w:cs="仿宋_GB2312"/>
          <w:sz w:val="32"/>
          <w:szCs w:val="32"/>
        </w:rPr>
        <w:t>通过绩效自评发现主要存在以下问题：一是预算绩效评价的范围有待进一步扩大。虽然我单位绩效评价工作已经开展，但评价项目数量和资金数额占市级项目总量和支出比重还不高；二是评价指标体系需要进一步完善。财政支出评价对象涉及行业多，项目之间差异性大，目前虽然中央已经发布共性指标，但真正能体现项目效果的个性指标，由于设置难度较大，还不能满足目前工作开展需要。三是人员素质有待进一步提高。由于预算绩效管理评价工作开展时间较短，加上缺乏系统的培训，造成对预算绩效管理认识不到位、理解不充分，对预算绩效管理业务不了解、不熟悉，对工作重点把握不到位，由此造成绩效监控评价工作还未摆脱财务考评或竣工验收的影响。</w:t>
      </w:r>
    </w:p>
    <w:p>
      <w:pPr>
        <w:widowControl/>
        <w:spacing w:line="520" w:lineRule="exact"/>
        <w:ind w:firstLine="640" w:firstLineChars="200"/>
        <w:jc w:val="left"/>
        <w:rPr>
          <w:rFonts w:hAnsi="宋体" w:eastAsia="仿宋_GB2312" w:cs="仿宋_GB2312"/>
          <w:sz w:val="32"/>
          <w:szCs w:val="32"/>
        </w:rPr>
      </w:pPr>
      <w:r>
        <w:rPr>
          <w:rFonts w:hint="eastAsia" w:hAnsi="宋体" w:eastAsia="仿宋_GB2312" w:cs="仿宋_GB2312"/>
          <w:sz w:val="32"/>
          <w:szCs w:val="32"/>
        </w:rPr>
        <w:t>下一步将采取以下措施加以改进：一是强化预算支出责任意识，增强绩效管理理念;二是完善制度，推进落实。进一步完善绩效管理工作制度和办法，力求规范、完整、可操作；加强事前、事中和事后的全过程控制，使绩效管理各环节有效衔接，提高绩效管理行为的连续性和完整性。三是加强预算执行的管理，对预算项目绩效进行监控。开展重点项目跟踪问效，掌握项目的实施进度、项目资金管理使用情况、效益实现情况、项目存在的问题及原因，对绩效目标完成情况进行评价，并按规定对绩效信息进行公开，接受监督，全面提高资金使用效益。</w:t>
      </w:r>
    </w:p>
    <w:p>
      <w:pPr>
        <w:widowControl/>
        <w:spacing w:line="520" w:lineRule="exact"/>
        <w:ind w:firstLine="643" w:firstLineChars="200"/>
        <w:jc w:val="left"/>
        <w:rPr>
          <w:rFonts w:ascii="仿宋_GB2312" w:hAnsi="宋体" w:eastAsia="仿宋_GB2312" w:cs="仿宋_GB2312"/>
          <w:b/>
          <w:bCs/>
          <w:sz w:val="32"/>
          <w:szCs w:val="32"/>
        </w:rPr>
      </w:pPr>
      <w:r>
        <w:rPr>
          <w:rFonts w:hint="eastAsia" w:ascii="仿宋_GB2312" w:hAnsi="宋体" w:eastAsia="仿宋_GB2312" w:cs="仿宋_GB2312"/>
          <w:b/>
          <w:bCs/>
          <w:sz w:val="32"/>
          <w:szCs w:val="32"/>
        </w:rPr>
        <w:t>2.部门决算中特定目标类项目绩效自评结果。</w:t>
      </w:r>
    </w:p>
    <w:p>
      <w:pPr>
        <w:widowControl/>
        <w:spacing w:line="52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中共盘锦市直属机关工作委员会2021年无特定目标类项目。</w:t>
      </w:r>
    </w:p>
    <w:p>
      <w:pPr>
        <w:spacing w:line="540" w:lineRule="exact"/>
        <w:jc w:val="center"/>
        <w:rPr>
          <w:rFonts w:ascii="仿宋_GB2312" w:hAnsi="宋体" w:eastAsia="仿宋_GB2312" w:cs="仿宋_GB2312"/>
          <w:sz w:val="32"/>
          <w:szCs w:val="32"/>
        </w:rPr>
      </w:pPr>
      <w:r>
        <w:rPr>
          <w:rFonts w:hint="eastAsia" w:ascii="仿宋_GB2312" w:hAnsi="宋体" w:eastAsia="仿宋_GB2312" w:cs="仿宋_GB2312"/>
          <w:sz w:val="32"/>
          <w:szCs w:val="32"/>
        </w:rPr>
        <w:br w:type="page"/>
      </w:r>
    </w:p>
    <w:tbl>
      <w:tblPr>
        <w:tblStyle w:val="4"/>
        <w:tblW w:w="5000" w:type="pct"/>
        <w:tblInd w:w="0" w:type="dxa"/>
        <w:tblLayout w:type="autofit"/>
        <w:tblCellMar>
          <w:top w:w="0" w:type="dxa"/>
          <w:left w:w="108" w:type="dxa"/>
          <w:bottom w:w="0" w:type="dxa"/>
          <w:right w:w="108" w:type="dxa"/>
        </w:tblCellMar>
      </w:tblPr>
      <w:tblGrid>
        <w:gridCol w:w="1336"/>
        <w:gridCol w:w="1747"/>
        <w:gridCol w:w="1336"/>
        <w:gridCol w:w="893"/>
        <w:gridCol w:w="787"/>
        <w:gridCol w:w="1809"/>
        <w:gridCol w:w="356"/>
        <w:gridCol w:w="1022"/>
      </w:tblGrid>
      <w:tr>
        <w:tblPrEx>
          <w:tblCellMar>
            <w:top w:w="0" w:type="dxa"/>
            <w:left w:w="108" w:type="dxa"/>
            <w:bottom w:w="0" w:type="dxa"/>
            <w:right w:w="108" w:type="dxa"/>
          </w:tblCellMar>
        </w:tblPrEx>
        <w:trPr>
          <w:trHeight w:val="641" w:hRule="atLeast"/>
        </w:trPr>
        <w:tc>
          <w:tcPr>
            <w:tcW w:w="5000" w:type="pct"/>
            <w:gridSpan w:val="8"/>
            <w:tcBorders>
              <w:top w:val="nil"/>
              <w:left w:val="nil"/>
              <w:bottom w:val="nil"/>
              <w:right w:val="nil"/>
            </w:tcBorders>
            <w:shd w:val="clear" w:color="FFFFFF" w:fill="FFFFFF"/>
            <w:noWrap/>
            <w:vAlign w:val="center"/>
          </w:tcPr>
          <w:p>
            <w:pPr>
              <w:widowControl/>
              <w:jc w:val="center"/>
              <w:textAlignment w:val="center"/>
              <w:rPr>
                <w:rFonts w:ascii="宋体" w:hAnsi="宋体" w:cs="宋体"/>
                <w:b/>
                <w:bCs/>
                <w:color w:val="000000"/>
                <w:sz w:val="36"/>
                <w:szCs w:val="36"/>
              </w:rPr>
            </w:pPr>
            <w:r>
              <w:rPr>
                <w:rFonts w:hint="eastAsia" w:ascii="宋体" w:hAnsi="宋体" w:cs="宋体"/>
                <w:b/>
                <w:bCs/>
                <w:color w:val="000000"/>
                <w:kern w:val="0"/>
                <w:sz w:val="36"/>
                <w:szCs w:val="36"/>
              </w:rPr>
              <w:t>部门（单位）整体绩效目标表</w:t>
            </w:r>
          </w:p>
        </w:tc>
      </w:tr>
      <w:tr>
        <w:tblPrEx>
          <w:tblCellMar>
            <w:top w:w="0" w:type="dxa"/>
            <w:left w:w="108" w:type="dxa"/>
            <w:bottom w:w="0" w:type="dxa"/>
            <w:right w:w="108" w:type="dxa"/>
          </w:tblCellMar>
        </w:tblPrEx>
        <w:trPr>
          <w:trHeight w:val="431" w:hRule="atLeast"/>
        </w:trPr>
        <w:tc>
          <w:tcPr>
            <w:tcW w:w="2978" w:type="pct"/>
            <w:gridSpan w:val="4"/>
            <w:tcBorders>
              <w:top w:val="nil"/>
              <w:left w:val="nil"/>
              <w:bottom w:val="single" w:color="000000" w:sz="4" w:space="0"/>
              <w:right w:val="nil"/>
            </w:tcBorders>
            <w:shd w:val="clear" w:color="FFFFFF" w:fill="FFFFFF"/>
            <w:noWrap/>
            <w:vAlign w:val="center"/>
          </w:tcPr>
          <w:p>
            <w:pPr>
              <w:widowControl/>
              <w:jc w:val="left"/>
              <w:textAlignment w:val="center"/>
              <w:rPr>
                <w:rFonts w:ascii="宋体" w:hAnsi="宋体" w:cs="宋体"/>
                <w:color w:val="000000"/>
                <w:sz w:val="14"/>
                <w:szCs w:val="14"/>
              </w:rPr>
            </w:pPr>
          </w:p>
        </w:tc>
        <w:tc>
          <w:tcPr>
            <w:tcW w:w="2021" w:type="pct"/>
            <w:gridSpan w:val="4"/>
            <w:tcBorders>
              <w:top w:val="nil"/>
              <w:left w:val="nil"/>
              <w:bottom w:val="single" w:color="000000" w:sz="4" w:space="0"/>
              <w:right w:val="nil"/>
            </w:tcBorders>
            <w:shd w:val="clear" w:color="FFFFFF" w:fill="FFFFFF"/>
            <w:vAlign w:val="center"/>
          </w:tcPr>
          <w:p>
            <w:pPr>
              <w:widowControl/>
              <w:jc w:val="right"/>
              <w:textAlignment w:val="center"/>
              <w:rPr>
                <w:rFonts w:ascii="宋体" w:hAnsi="宋体" w:cs="宋体"/>
                <w:color w:val="000000"/>
                <w:sz w:val="14"/>
                <w:szCs w:val="14"/>
              </w:rPr>
            </w:pPr>
            <w:r>
              <w:rPr>
                <w:rFonts w:ascii="宋体" w:hAnsi="宋体" w:cs="宋体"/>
                <w:color w:val="000000"/>
                <w:kern w:val="0"/>
                <w:sz w:val="14"/>
                <w:szCs w:val="14"/>
              </w:rPr>
              <w:t>单位:万元</w:t>
            </w:r>
          </w:p>
        </w:tc>
      </w:tr>
      <w:tr>
        <w:tblPrEx>
          <w:tblCellMar>
            <w:top w:w="0" w:type="dxa"/>
            <w:left w:w="108" w:type="dxa"/>
            <w:bottom w:w="0" w:type="dxa"/>
            <w:right w:w="108" w:type="dxa"/>
          </w:tblCellMar>
        </w:tblPrEx>
        <w:trPr>
          <w:trHeight w:val="389" w:hRule="atLeast"/>
        </w:trPr>
        <w:tc>
          <w:tcPr>
            <w:tcW w:w="601"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部门（单位）名称</w:t>
            </w:r>
          </w:p>
        </w:tc>
        <w:tc>
          <w:tcPr>
            <w:tcW w:w="11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中共盘锦市直属机关工作委员会</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实有人员数量</w:t>
            </w:r>
          </w:p>
        </w:tc>
        <w:tc>
          <w:tcPr>
            <w:tcW w:w="639"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right"/>
              <w:textAlignment w:val="center"/>
              <w:rPr>
                <w:rFonts w:ascii="宋体" w:hAnsi="宋体" w:cs="宋体"/>
                <w:color w:val="000000"/>
                <w:sz w:val="14"/>
                <w:szCs w:val="14"/>
              </w:rPr>
            </w:pPr>
            <w:r>
              <w:rPr>
                <w:rFonts w:hint="eastAsia" w:ascii="宋体" w:hAnsi="宋体" w:cs="宋体"/>
                <w:color w:val="000000"/>
                <w:kern w:val="0"/>
                <w:sz w:val="14"/>
                <w:szCs w:val="14"/>
              </w:rPr>
              <w:t>32</w:t>
            </w:r>
          </w:p>
        </w:tc>
        <w:tc>
          <w:tcPr>
            <w:tcW w:w="1197"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所属单位数量</w:t>
            </w:r>
          </w:p>
        </w:tc>
        <w:tc>
          <w:tcPr>
            <w:tcW w:w="824"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right"/>
              <w:textAlignment w:val="center"/>
              <w:rPr>
                <w:rFonts w:ascii="宋体" w:hAnsi="宋体" w:cs="宋体"/>
                <w:color w:val="000000"/>
                <w:sz w:val="14"/>
                <w:szCs w:val="14"/>
              </w:rPr>
            </w:pPr>
            <w:r>
              <w:rPr>
                <w:rFonts w:hint="eastAsia" w:ascii="宋体" w:hAnsi="宋体" w:cs="宋体"/>
                <w:color w:val="000000"/>
                <w:kern w:val="0"/>
                <w:sz w:val="14"/>
                <w:szCs w:val="14"/>
              </w:rPr>
              <w:t>4</w:t>
            </w:r>
          </w:p>
        </w:tc>
      </w:tr>
      <w:tr>
        <w:tblPrEx>
          <w:tblCellMar>
            <w:top w:w="0" w:type="dxa"/>
            <w:left w:w="108" w:type="dxa"/>
            <w:bottom w:w="0" w:type="dxa"/>
            <w:right w:w="108" w:type="dxa"/>
          </w:tblCellMar>
        </w:tblPrEx>
        <w:trPr>
          <w:trHeight w:val="482" w:hRule="atLeast"/>
        </w:trPr>
        <w:tc>
          <w:tcPr>
            <w:tcW w:w="60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 xml:space="preserve">年度预算收入 </w:t>
            </w:r>
          </w:p>
        </w:tc>
        <w:tc>
          <w:tcPr>
            <w:tcW w:w="11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年度部门预算收入</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right"/>
              <w:textAlignment w:val="center"/>
              <w:rPr>
                <w:rFonts w:ascii="宋体" w:hAnsi="宋体" w:cs="宋体"/>
                <w:color w:val="000000"/>
                <w:sz w:val="14"/>
                <w:szCs w:val="14"/>
              </w:rPr>
            </w:pPr>
            <w:r>
              <w:rPr>
                <w:rFonts w:hint="eastAsia" w:ascii="宋体" w:hAnsi="宋体" w:cs="宋体"/>
                <w:color w:val="000000"/>
                <w:kern w:val="0"/>
                <w:sz w:val="14"/>
                <w:szCs w:val="14"/>
              </w:rPr>
              <w:t>263.25</w:t>
            </w:r>
          </w:p>
        </w:tc>
        <w:tc>
          <w:tcPr>
            <w:tcW w:w="639"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 xml:space="preserve">年度预算支出 </w:t>
            </w:r>
          </w:p>
        </w:tc>
        <w:tc>
          <w:tcPr>
            <w:tcW w:w="119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年度部门预算支出</w:t>
            </w:r>
          </w:p>
        </w:tc>
        <w:tc>
          <w:tcPr>
            <w:tcW w:w="824"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right"/>
              <w:textAlignment w:val="center"/>
              <w:rPr>
                <w:rFonts w:ascii="宋体" w:hAnsi="宋体" w:cs="宋体"/>
                <w:color w:val="000000"/>
                <w:sz w:val="14"/>
                <w:szCs w:val="14"/>
              </w:rPr>
            </w:pPr>
            <w:r>
              <w:rPr>
                <w:rFonts w:hint="eastAsia" w:ascii="宋体" w:hAnsi="宋体" w:cs="宋体"/>
                <w:color w:val="000000"/>
                <w:kern w:val="0"/>
                <w:sz w:val="14"/>
                <w:szCs w:val="14"/>
              </w:rPr>
              <w:t>263.25</w:t>
            </w:r>
          </w:p>
        </w:tc>
      </w:tr>
      <w:tr>
        <w:tblPrEx>
          <w:tblCellMar>
            <w:top w:w="0" w:type="dxa"/>
            <w:left w:w="108" w:type="dxa"/>
            <w:bottom w:w="0" w:type="dxa"/>
            <w:right w:w="108" w:type="dxa"/>
          </w:tblCellMar>
        </w:tblPrEx>
        <w:trPr>
          <w:trHeight w:val="479"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一、本年收入</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right"/>
              <w:textAlignment w:val="center"/>
              <w:rPr>
                <w:rFonts w:ascii="宋体" w:hAnsi="宋体" w:cs="宋体"/>
                <w:color w:val="000000"/>
                <w:sz w:val="14"/>
                <w:szCs w:val="14"/>
              </w:rPr>
            </w:pPr>
            <w:r>
              <w:rPr>
                <w:rFonts w:hint="eastAsia" w:ascii="宋体" w:hAnsi="宋体" w:cs="宋体"/>
                <w:color w:val="000000"/>
                <w:kern w:val="0"/>
                <w:sz w:val="14"/>
                <w:szCs w:val="14"/>
              </w:rPr>
              <w:t>263.25</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97"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一、基本支出</w:t>
            </w:r>
          </w:p>
        </w:tc>
        <w:tc>
          <w:tcPr>
            <w:tcW w:w="824"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right"/>
              <w:textAlignment w:val="center"/>
              <w:rPr>
                <w:rFonts w:ascii="宋体" w:hAnsi="宋体" w:cs="宋体"/>
                <w:color w:val="000000"/>
                <w:sz w:val="14"/>
                <w:szCs w:val="14"/>
              </w:rPr>
            </w:pPr>
            <w:r>
              <w:rPr>
                <w:rFonts w:hint="eastAsia" w:ascii="宋体" w:hAnsi="宋体" w:cs="宋体"/>
                <w:color w:val="000000"/>
                <w:kern w:val="0"/>
                <w:sz w:val="14"/>
                <w:szCs w:val="14"/>
              </w:rPr>
              <w:t>241.75</w:t>
            </w:r>
          </w:p>
        </w:tc>
      </w:tr>
      <w:tr>
        <w:tblPrEx>
          <w:tblCellMar>
            <w:top w:w="0" w:type="dxa"/>
            <w:left w:w="108" w:type="dxa"/>
            <w:bottom w:w="0" w:type="dxa"/>
            <w:right w:w="108" w:type="dxa"/>
          </w:tblCellMar>
        </w:tblPrEx>
        <w:trPr>
          <w:trHeight w:val="482"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（一）一般公共预算拨款收入</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right"/>
              <w:textAlignment w:val="center"/>
              <w:rPr>
                <w:rFonts w:ascii="宋体" w:hAnsi="宋体" w:cs="宋体"/>
                <w:color w:val="000000"/>
                <w:sz w:val="14"/>
                <w:szCs w:val="14"/>
              </w:rPr>
            </w:pPr>
            <w:r>
              <w:rPr>
                <w:rFonts w:hint="eastAsia" w:ascii="宋体" w:hAnsi="宋体" w:cs="宋体"/>
                <w:color w:val="000000"/>
                <w:kern w:val="0"/>
                <w:sz w:val="14"/>
                <w:szCs w:val="14"/>
              </w:rPr>
              <w:t>263.25</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97"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（一）人员类项目</w:t>
            </w:r>
          </w:p>
        </w:tc>
        <w:tc>
          <w:tcPr>
            <w:tcW w:w="824"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right"/>
              <w:textAlignment w:val="center"/>
              <w:rPr>
                <w:rFonts w:ascii="宋体" w:hAnsi="宋体" w:cs="宋体"/>
                <w:color w:val="000000"/>
                <w:sz w:val="14"/>
                <w:szCs w:val="14"/>
              </w:rPr>
            </w:pPr>
            <w:r>
              <w:rPr>
                <w:rFonts w:hint="eastAsia" w:ascii="宋体" w:hAnsi="宋体" w:cs="宋体"/>
                <w:color w:val="000000"/>
                <w:kern w:val="0"/>
                <w:sz w:val="14"/>
                <w:szCs w:val="14"/>
              </w:rPr>
              <w:t>204.76</w:t>
            </w:r>
          </w:p>
        </w:tc>
      </w:tr>
      <w:tr>
        <w:tblPrEx>
          <w:tblCellMar>
            <w:top w:w="0" w:type="dxa"/>
            <w:left w:w="108" w:type="dxa"/>
            <w:bottom w:w="0" w:type="dxa"/>
            <w:right w:w="108" w:type="dxa"/>
          </w:tblCellMar>
        </w:tblPrEx>
        <w:trPr>
          <w:trHeight w:val="482"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（二）政府性基金预算拨款收入</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ascii="宋体" w:hAnsi="宋体" w:cs="宋体"/>
                <w:color w:val="000000"/>
                <w:sz w:val="14"/>
                <w:szCs w:val="14"/>
              </w:rPr>
            </w:pPr>
          </w:p>
        </w:tc>
        <w:tc>
          <w:tcPr>
            <w:tcW w:w="63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97"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（二）公用经费项目</w:t>
            </w:r>
          </w:p>
        </w:tc>
        <w:tc>
          <w:tcPr>
            <w:tcW w:w="824"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right"/>
              <w:textAlignment w:val="center"/>
              <w:rPr>
                <w:rFonts w:ascii="宋体" w:hAnsi="宋体" w:cs="宋体"/>
                <w:color w:val="000000"/>
                <w:sz w:val="14"/>
                <w:szCs w:val="14"/>
              </w:rPr>
            </w:pPr>
            <w:r>
              <w:rPr>
                <w:rFonts w:hint="eastAsia" w:ascii="宋体" w:hAnsi="宋体" w:cs="宋体"/>
                <w:color w:val="000000"/>
                <w:kern w:val="0"/>
                <w:sz w:val="14"/>
                <w:szCs w:val="14"/>
              </w:rPr>
              <w:t>36.99</w:t>
            </w:r>
          </w:p>
        </w:tc>
      </w:tr>
      <w:tr>
        <w:tblPrEx>
          <w:tblCellMar>
            <w:top w:w="0" w:type="dxa"/>
            <w:left w:w="108" w:type="dxa"/>
            <w:bottom w:w="0" w:type="dxa"/>
            <w:right w:w="108" w:type="dxa"/>
          </w:tblCellMar>
        </w:tblPrEx>
        <w:trPr>
          <w:trHeight w:val="482"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（三）国有资本经营预算拨款收入</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ascii="宋体" w:hAnsi="宋体" w:cs="宋体"/>
                <w:color w:val="000000"/>
                <w:sz w:val="14"/>
                <w:szCs w:val="14"/>
              </w:rPr>
            </w:pPr>
          </w:p>
        </w:tc>
        <w:tc>
          <w:tcPr>
            <w:tcW w:w="63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97"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二、项目支出（不含部门主导分配）</w:t>
            </w:r>
          </w:p>
        </w:tc>
        <w:tc>
          <w:tcPr>
            <w:tcW w:w="824"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right"/>
              <w:textAlignment w:val="center"/>
              <w:rPr>
                <w:rFonts w:ascii="宋体" w:hAnsi="宋体" w:cs="宋体"/>
                <w:color w:val="000000"/>
                <w:sz w:val="14"/>
                <w:szCs w:val="14"/>
              </w:rPr>
            </w:pPr>
            <w:r>
              <w:rPr>
                <w:rFonts w:hint="eastAsia" w:ascii="宋体" w:hAnsi="宋体" w:cs="宋体"/>
                <w:color w:val="000000"/>
                <w:kern w:val="0"/>
                <w:sz w:val="14"/>
                <w:szCs w:val="14"/>
              </w:rPr>
              <w:t>21.50</w:t>
            </w:r>
          </w:p>
        </w:tc>
      </w:tr>
      <w:tr>
        <w:tblPrEx>
          <w:tblCellMar>
            <w:top w:w="0" w:type="dxa"/>
            <w:left w:w="108" w:type="dxa"/>
            <w:bottom w:w="0" w:type="dxa"/>
            <w:right w:w="108" w:type="dxa"/>
          </w:tblCellMar>
        </w:tblPrEx>
        <w:trPr>
          <w:trHeight w:val="482"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（四）财政专户管理资金收入</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ascii="宋体" w:hAnsi="宋体" w:cs="宋体"/>
                <w:color w:val="000000"/>
                <w:sz w:val="14"/>
                <w:szCs w:val="14"/>
              </w:rPr>
            </w:pPr>
          </w:p>
        </w:tc>
        <w:tc>
          <w:tcPr>
            <w:tcW w:w="63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97"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（一）其他运转类项目</w:t>
            </w:r>
          </w:p>
        </w:tc>
        <w:tc>
          <w:tcPr>
            <w:tcW w:w="824"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right"/>
              <w:textAlignment w:val="center"/>
              <w:rPr>
                <w:rFonts w:ascii="宋体" w:hAnsi="宋体" w:cs="宋体"/>
                <w:color w:val="000000"/>
                <w:sz w:val="14"/>
                <w:szCs w:val="14"/>
              </w:rPr>
            </w:pPr>
            <w:r>
              <w:rPr>
                <w:rFonts w:hint="eastAsia" w:ascii="宋体" w:hAnsi="宋体" w:cs="宋体"/>
                <w:color w:val="000000"/>
                <w:kern w:val="0"/>
                <w:sz w:val="14"/>
                <w:szCs w:val="14"/>
              </w:rPr>
              <w:t>21.50</w:t>
            </w:r>
          </w:p>
        </w:tc>
      </w:tr>
      <w:tr>
        <w:tblPrEx>
          <w:tblCellMar>
            <w:top w:w="0" w:type="dxa"/>
            <w:left w:w="108" w:type="dxa"/>
            <w:bottom w:w="0" w:type="dxa"/>
            <w:right w:w="108" w:type="dxa"/>
          </w:tblCellMar>
        </w:tblPrEx>
        <w:trPr>
          <w:trHeight w:val="479"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（五）单位资金收入</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ascii="宋体" w:hAnsi="宋体" w:cs="宋体"/>
                <w:color w:val="000000"/>
                <w:sz w:val="14"/>
                <w:szCs w:val="14"/>
              </w:rPr>
            </w:pPr>
          </w:p>
        </w:tc>
        <w:tc>
          <w:tcPr>
            <w:tcW w:w="63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97"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（二）特定目标类项目</w:t>
            </w:r>
          </w:p>
        </w:tc>
        <w:tc>
          <w:tcPr>
            <w:tcW w:w="824"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ascii="宋体" w:hAnsi="宋体" w:cs="宋体"/>
                <w:color w:val="000000"/>
                <w:sz w:val="14"/>
                <w:szCs w:val="14"/>
              </w:rPr>
            </w:pPr>
          </w:p>
        </w:tc>
      </w:tr>
      <w:tr>
        <w:tblPrEx>
          <w:tblCellMar>
            <w:top w:w="0" w:type="dxa"/>
            <w:left w:w="108" w:type="dxa"/>
            <w:bottom w:w="0" w:type="dxa"/>
            <w:right w:w="108" w:type="dxa"/>
          </w:tblCellMar>
        </w:tblPrEx>
        <w:trPr>
          <w:trHeight w:val="479"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二、上年结转结余</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ascii="宋体" w:hAnsi="宋体" w:cs="宋体"/>
                <w:color w:val="000000"/>
                <w:sz w:val="14"/>
                <w:szCs w:val="14"/>
              </w:rPr>
            </w:pPr>
          </w:p>
        </w:tc>
        <w:tc>
          <w:tcPr>
            <w:tcW w:w="63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97"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三、部门主导分配项目（不纳入评价）</w:t>
            </w:r>
          </w:p>
        </w:tc>
        <w:tc>
          <w:tcPr>
            <w:tcW w:w="824"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ascii="宋体" w:hAnsi="宋体" w:cs="宋体"/>
                <w:color w:val="000000"/>
                <w:sz w:val="14"/>
                <w:szCs w:val="14"/>
              </w:rPr>
            </w:pPr>
          </w:p>
        </w:tc>
      </w:tr>
      <w:tr>
        <w:tblPrEx>
          <w:tblCellMar>
            <w:top w:w="0" w:type="dxa"/>
            <w:left w:w="108" w:type="dxa"/>
            <w:bottom w:w="0" w:type="dxa"/>
            <w:right w:w="108" w:type="dxa"/>
          </w:tblCellMar>
        </w:tblPrEx>
        <w:trPr>
          <w:trHeight w:val="482"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（一）一般公共预算拨款收入</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ascii="宋体" w:hAnsi="宋体" w:cs="宋体"/>
                <w:color w:val="000000"/>
                <w:sz w:val="14"/>
                <w:szCs w:val="14"/>
              </w:rPr>
            </w:pPr>
          </w:p>
        </w:tc>
        <w:tc>
          <w:tcPr>
            <w:tcW w:w="63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97"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left"/>
              <w:rPr>
                <w:rFonts w:ascii="宋体" w:hAnsi="宋体" w:cs="宋体"/>
                <w:color w:val="000000"/>
                <w:sz w:val="14"/>
                <w:szCs w:val="14"/>
              </w:rPr>
            </w:pPr>
          </w:p>
        </w:tc>
        <w:tc>
          <w:tcPr>
            <w:tcW w:w="334" w:type="pct"/>
            <w:tcBorders>
              <w:top w:val="single" w:color="000000" w:sz="4" w:space="0"/>
              <w:left w:val="single" w:color="000000" w:sz="4" w:space="0"/>
              <w:bottom w:val="single" w:color="000000" w:sz="4" w:space="0"/>
              <w:right w:val="nil"/>
            </w:tcBorders>
            <w:shd w:val="clear" w:color="FFFFFF" w:fill="FFFFFF"/>
            <w:noWrap/>
            <w:vAlign w:val="center"/>
          </w:tcPr>
          <w:p>
            <w:pPr>
              <w:jc w:val="right"/>
              <w:rPr>
                <w:rFonts w:ascii="宋体" w:hAnsi="宋体" w:cs="宋体"/>
                <w:color w:val="000000"/>
                <w:sz w:val="14"/>
                <w:szCs w:val="14"/>
              </w:rPr>
            </w:pPr>
          </w:p>
        </w:tc>
        <w:tc>
          <w:tcPr>
            <w:tcW w:w="489" w:type="pct"/>
            <w:tcBorders>
              <w:top w:val="single" w:color="000000" w:sz="4" w:space="0"/>
              <w:left w:val="nil"/>
              <w:bottom w:val="single" w:color="000000" w:sz="4" w:space="0"/>
              <w:right w:val="single" w:color="000000" w:sz="4" w:space="0"/>
            </w:tcBorders>
            <w:shd w:val="clear" w:color="FFFFFF" w:fill="FFFFFF"/>
            <w:noWrap/>
            <w:vAlign w:val="center"/>
          </w:tcPr>
          <w:p>
            <w:pPr>
              <w:jc w:val="right"/>
              <w:rPr>
                <w:rFonts w:ascii="宋体" w:hAnsi="宋体" w:cs="宋体"/>
                <w:color w:val="000000"/>
                <w:sz w:val="14"/>
                <w:szCs w:val="14"/>
              </w:rPr>
            </w:pPr>
          </w:p>
        </w:tc>
      </w:tr>
      <w:tr>
        <w:tblPrEx>
          <w:tblCellMar>
            <w:top w:w="0" w:type="dxa"/>
            <w:left w:w="108" w:type="dxa"/>
            <w:bottom w:w="0" w:type="dxa"/>
            <w:right w:w="108" w:type="dxa"/>
          </w:tblCellMar>
        </w:tblPrEx>
        <w:trPr>
          <w:trHeight w:val="482"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（二）政府性基金预算拨款收入</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ascii="宋体" w:hAnsi="宋体" w:cs="宋体"/>
                <w:color w:val="000000"/>
                <w:sz w:val="14"/>
                <w:szCs w:val="14"/>
              </w:rPr>
            </w:pPr>
          </w:p>
        </w:tc>
        <w:tc>
          <w:tcPr>
            <w:tcW w:w="63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363" w:type="pct"/>
            <w:tcBorders>
              <w:top w:val="single" w:color="000000" w:sz="4" w:space="0"/>
              <w:left w:val="single" w:color="000000" w:sz="4" w:space="0"/>
              <w:bottom w:val="single" w:color="000000" w:sz="4" w:space="0"/>
              <w:right w:val="nil"/>
            </w:tcBorders>
            <w:shd w:val="clear" w:color="FFFFFF" w:fill="FFFFFF"/>
            <w:noWrap/>
            <w:vAlign w:val="center"/>
          </w:tcPr>
          <w:p>
            <w:pPr>
              <w:jc w:val="left"/>
              <w:rPr>
                <w:rFonts w:ascii="宋体" w:hAnsi="宋体" w:cs="宋体"/>
                <w:color w:val="000000"/>
                <w:sz w:val="14"/>
                <w:szCs w:val="14"/>
              </w:rPr>
            </w:pPr>
          </w:p>
        </w:tc>
        <w:tc>
          <w:tcPr>
            <w:tcW w:w="833" w:type="pct"/>
            <w:tcBorders>
              <w:top w:val="single" w:color="000000" w:sz="4" w:space="0"/>
              <w:left w:val="nil"/>
              <w:bottom w:val="single" w:color="000000" w:sz="4" w:space="0"/>
              <w:right w:val="single" w:color="000000" w:sz="4" w:space="0"/>
            </w:tcBorders>
            <w:shd w:val="clear" w:color="FFFFFF" w:fill="FFFFFF"/>
            <w:noWrap/>
            <w:vAlign w:val="center"/>
          </w:tcPr>
          <w:p>
            <w:pPr>
              <w:jc w:val="left"/>
              <w:rPr>
                <w:rFonts w:ascii="宋体" w:hAnsi="宋体" w:cs="宋体"/>
                <w:color w:val="000000"/>
                <w:sz w:val="14"/>
                <w:szCs w:val="14"/>
              </w:rPr>
            </w:pPr>
          </w:p>
        </w:tc>
        <w:tc>
          <w:tcPr>
            <w:tcW w:w="334" w:type="pct"/>
            <w:tcBorders>
              <w:top w:val="single" w:color="000000" w:sz="4" w:space="0"/>
              <w:left w:val="single" w:color="000000" w:sz="4" w:space="0"/>
              <w:bottom w:val="single" w:color="000000" w:sz="4" w:space="0"/>
              <w:right w:val="nil"/>
            </w:tcBorders>
            <w:shd w:val="clear" w:color="FFFFFF" w:fill="FFFFFF"/>
            <w:noWrap/>
            <w:vAlign w:val="center"/>
          </w:tcPr>
          <w:p>
            <w:pPr>
              <w:jc w:val="right"/>
              <w:rPr>
                <w:rFonts w:ascii="宋体" w:hAnsi="宋体" w:cs="宋体"/>
                <w:color w:val="000000"/>
                <w:sz w:val="14"/>
                <w:szCs w:val="14"/>
              </w:rPr>
            </w:pPr>
          </w:p>
        </w:tc>
        <w:tc>
          <w:tcPr>
            <w:tcW w:w="489" w:type="pct"/>
            <w:tcBorders>
              <w:top w:val="single" w:color="000000" w:sz="4" w:space="0"/>
              <w:left w:val="nil"/>
              <w:bottom w:val="single" w:color="000000" w:sz="4" w:space="0"/>
              <w:right w:val="single" w:color="000000" w:sz="4" w:space="0"/>
            </w:tcBorders>
            <w:shd w:val="clear" w:color="FFFFFF" w:fill="FFFFFF"/>
            <w:noWrap/>
            <w:vAlign w:val="center"/>
          </w:tcPr>
          <w:p>
            <w:pPr>
              <w:jc w:val="right"/>
              <w:rPr>
                <w:rFonts w:ascii="宋体" w:hAnsi="宋体" w:cs="宋体"/>
                <w:color w:val="000000"/>
                <w:sz w:val="14"/>
                <w:szCs w:val="14"/>
              </w:rPr>
            </w:pPr>
          </w:p>
        </w:tc>
      </w:tr>
      <w:tr>
        <w:tblPrEx>
          <w:tblCellMar>
            <w:top w:w="0" w:type="dxa"/>
            <w:left w:w="108" w:type="dxa"/>
            <w:bottom w:w="0" w:type="dxa"/>
            <w:right w:w="108" w:type="dxa"/>
          </w:tblCellMar>
        </w:tblPrEx>
        <w:trPr>
          <w:trHeight w:val="482"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（三）国有资本经营预算拨款收入</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ascii="宋体" w:hAnsi="宋体" w:cs="宋体"/>
                <w:color w:val="000000"/>
                <w:sz w:val="14"/>
                <w:szCs w:val="14"/>
              </w:rPr>
            </w:pPr>
          </w:p>
        </w:tc>
        <w:tc>
          <w:tcPr>
            <w:tcW w:w="63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363" w:type="pct"/>
            <w:tcBorders>
              <w:top w:val="single" w:color="000000" w:sz="4" w:space="0"/>
              <w:left w:val="single" w:color="000000" w:sz="4" w:space="0"/>
              <w:bottom w:val="single" w:color="000000" w:sz="4" w:space="0"/>
              <w:right w:val="nil"/>
            </w:tcBorders>
            <w:shd w:val="clear" w:color="FFFFFF" w:fill="FFFFFF"/>
            <w:noWrap/>
            <w:vAlign w:val="center"/>
          </w:tcPr>
          <w:p>
            <w:pPr>
              <w:jc w:val="left"/>
              <w:rPr>
                <w:rFonts w:ascii="宋体" w:hAnsi="宋体" w:cs="宋体"/>
                <w:color w:val="000000"/>
                <w:sz w:val="14"/>
                <w:szCs w:val="14"/>
              </w:rPr>
            </w:pPr>
          </w:p>
        </w:tc>
        <w:tc>
          <w:tcPr>
            <w:tcW w:w="833" w:type="pct"/>
            <w:tcBorders>
              <w:top w:val="single" w:color="000000" w:sz="4" w:space="0"/>
              <w:left w:val="nil"/>
              <w:bottom w:val="single" w:color="000000" w:sz="4" w:space="0"/>
              <w:right w:val="single" w:color="000000" w:sz="4" w:space="0"/>
            </w:tcBorders>
            <w:shd w:val="clear" w:color="FFFFFF" w:fill="FFFFFF"/>
            <w:noWrap/>
            <w:vAlign w:val="center"/>
          </w:tcPr>
          <w:p>
            <w:pPr>
              <w:jc w:val="left"/>
              <w:rPr>
                <w:rFonts w:ascii="宋体" w:hAnsi="宋体" w:cs="宋体"/>
                <w:color w:val="000000"/>
                <w:sz w:val="14"/>
                <w:szCs w:val="14"/>
              </w:rPr>
            </w:pPr>
          </w:p>
        </w:tc>
        <w:tc>
          <w:tcPr>
            <w:tcW w:w="334" w:type="pct"/>
            <w:tcBorders>
              <w:top w:val="single" w:color="000000" w:sz="4" w:space="0"/>
              <w:left w:val="single" w:color="000000" w:sz="4" w:space="0"/>
              <w:bottom w:val="single" w:color="000000" w:sz="4" w:space="0"/>
              <w:right w:val="nil"/>
            </w:tcBorders>
            <w:shd w:val="clear" w:color="FFFFFF" w:fill="FFFFFF"/>
            <w:noWrap/>
            <w:vAlign w:val="center"/>
          </w:tcPr>
          <w:p>
            <w:pPr>
              <w:jc w:val="right"/>
              <w:rPr>
                <w:rFonts w:ascii="宋体" w:hAnsi="宋体" w:cs="宋体"/>
                <w:color w:val="000000"/>
                <w:sz w:val="14"/>
                <w:szCs w:val="14"/>
              </w:rPr>
            </w:pPr>
          </w:p>
        </w:tc>
        <w:tc>
          <w:tcPr>
            <w:tcW w:w="489" w:type="pct"/>
            <w:tcBorders>
              <w:top w:val="single" w:color="000000" w:sz="4" w:space="0"/>
              <w:left w:val="nil"/>
              <w:bottom w:val="single" w:color="000000" w:sz="4" w:space="0"/>
              <w:right w:val="single" w:color="000000" w:sz="4" w:space="0"/>
            </w:tcBorders>
            <w:shd w:val="clear" w:color="FFFFFF" w:fill="FFFFFF"/>
            <w:noWrap/>
            <w:vAlign w:val="center"/>
          </w:tcPr>
          <w:p>
            <w:pPr>
              <w:jc w:val="right"/>
              <w:rPr>
                <w:rFonts w:ascii="宋体" w:hAnsi="宋体" w:cs="宋体"/>
                <w:color w:val="000000"/>
                <w:sz w:val="14"/>
                <w:szCs w:val="14"/>
              </w:rPr>
            </w:pPr>
          </w:p>
        </w:tc>
      </w:tr>
      <w:tr>
        <w:tblPrEx>
          <w:tblCellMar>
            <w:top w:w="0" w:type="dxa"/>
            <w:left w:w="108" w:type="dxa"/>
            <w:bottom w:w="0" w:type="dxa"/>
            <w:right w:w="108" w:type="dxa"/>
          </w:tblCellMar>
        </w:tblPrEx>
        <w:trPr>
          <w:trHeight w:val="482"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（四）财政专户管理资金收入</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ascii="宋体" w:hAnsi="宋体" w:cs="宋体"/>
                <w:color w:val="000000"/>
                <w:sz w:val="14"/>
                <w:szCs w:val="14"/>
              </w:rPr>
            </w:pPr>
          </w:p>
        </w:tc>
        <w:tc>
          <w:tcPr>
            <w:tcW w:w="63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363" w:type="pct"/>
            <w:tcBorders>
              <w:top w:val="single" w:color="000000" w:sz="4" w:space="0"/>
              <w:left w:val="single" w:color="000000" w:sz="4" w:space="0"/>
              <w:bottom w:val="single" w:color="000000" w:sz="4" w:space="0"/>
              <w:right w:val="nil"/>
            </w:tcBorders>
            <w:shd w:val="clear" w:color="FFFFFF" w:fill="FFFFFF"/>
            <w:noWrap/>
            <w:vAlign w:val="center"/>
          </w:tcPr>
          <w:p>
            <w:pPr>
              <w:jc w:val="left"/>
              <w:rPr>
                <w:rFonts w:ascii="宋体" w:hAnsi="宋体" w:cs="宋体"/>
                <w:color w:val="000000"/>
                <w:sz w:val="14"/>
                <w:szCs w:val="14"/>
              </w:rPr>
            </w:pPr>
          </w:p>
        </w:tc>
        <w:tc>
          <w:tcPr>
            <w:tcW w:w="833" w:type="pct"/>
            <w:tcBorders>
              <w:top w:val="single" w:color="000000" w:sz="4" w:space="0"/>
              <w:left w:val="nil"/>
              <w:bottom w:val="single" w:color="000000" w:sz="4" w:space="0"/>
              <w:right w:val="single" w:color="000000" w:sz="4" w:space="0"/>
            </w:tcBorders>
            <w:shd w:val="clear" w:color="FFFFFF" w:fill="FFFFFF"/>
            <w:noWrap/>
            <w:vAlign w:val="center"/>
          </w:tcPr>
          <w:p>
            <w:pPr>
              <w:jc w:val="left"/>
              <w:rPr>
                <w:rFonts w:ascii="宋体" w:hAnsi="宋体" w:cs="宋体"/>
                <w:color w:val="000000"/>
                <w:sz w:val="14"/>
                <w:szCs w:val="14"/>
              </w:rPr>
            </w:pPr>
          </w:p>
        </w:tc>
        <w:tc>
          <w:tcPr>
            <w:tcW w:w="334" w:type="pct"/>
            <w:tcBorders>
              <w:top w:val="single" w:color="000000" w:sz="4" w:space="0"/>
              <w:left w:val="single" w:color="000000" w:sz="4" w:space="0"/>
              <w:bottom w:val="single" w:color="000000" w:sz="4" w:space="0"/>
              <w:right w:val="nil"/>
            </w:tcBorders>
            <w:shd w:val="clear" w:color="FFFFFF" w:fill="FFFFFF"/>
            <w:noWrap/>
            <w:vAlign w:val="center"/>
          </w:tcPr>
          <w:p>
            <w:pPr>
              <w:jc w:val="right"/>
              <w:rPr>
                <w:rFonts w:ascii="宋体" w:hAnsi="宋体" w:cs="宋体"/>
                <w:color w:val="000000"/>
                <w:sz w:val="14"/>
                <w:szCs w:val="14"/>
              </w:rPr>
            </w:pPr>
          </w:p>
        </w:tc>
        <w:tc>
          <w:tcPr>
            <w:tcW w:w="489" w:type="pct"/>
            <w:tcBorders>
              <w:top w:val="single" w:color="000000" w:sz="4" w:space="0"/>
              <w:left w:val="nil"/>
              <w:bottom w:val="single" w:color="000000" w:sz="4" w:space="0"/>
              <w:right w:val="single" w:color="000000" w:sz="4" w:space="0"/>
            </w:tcBorders>
            <w:shd w:val="clear" w:color="FFFFFF" w:fill="FFFFFF"/>
            <w:noWrap/>
            <w:vAlign w:val="center"/>
          </w:tcPr>
          <w:p>
            <w:pPr>
              <w:jc w:val="right"/>
              <w:rPr>
                <w:rFonts w:ascii="宋体" w:hAnsi="宋体" w:cs="宋体"/>
                <w:color w:val="000000"/>
                <w:sz w:val="14"/>
                <w:szCs w:val="14"/>
              </w:rPr>
            </w:pPr>
          </w:p>
        </w:tc>
      </w:tr>
      <w:tr>
        <w:tblPrEx>
          <w:tblCellMar>
            <w:top w:w="0" w:type="dxa"/>
            <w:left w:w="108" w:type="dxa"/>
            <w:bottom w:w="0" w:type="dxa"/>
            <w:right w:w="108" w:type="dxa"/>
          </w:tblCellMar>
        </w:tblPrEx>
        <w:trPr>
          <w:trHeight w:val="479"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00"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（五）单位资金收入</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rPr>
                <w:rFonts w:ascii="宋体" w:hAnsi="宋体" w:cs="宋体"/>
                <w:color w:val="000000"/>
                <w:sz w:val="14"/>
                <w:szCs w:val="14"/>
              </w:rPr>
            </w:pPr>
          </w:p>
        </w:tc>
        <w:tc>
          <w:tcPr>
            <w:tcW w:w="639"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97"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left"/>
              <w:rPr>
                <w:rFonts w:ascii="宋体" w:hAnsi="宋体" w:cs="宋体"/>
                <w:color w:val="000000"/>
                <w:sz w:val="14"/>
                <w:szCs w:val="14"/>
              </w:rPr>
            </w:pPr>
          </w:p>
        </w:tc>
        <w:tc>
          <w:tcPr>
            <w:tcW w:w="824"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right"/>
              <w:rPr>
                <w:rFonts w:ascii="宋体" w:hAnsi="宋体" w:cs="宋体"/>
                <w:color w:val="000000"/>
                <w:sz w:val="14"/>
                <w:szCs w:val="14"/>
              </w:rPr>
            </w:pPr>
          </w:p>
        </w:tc>
      </w:tr>
      <w:tr>
        <w:tblPrEx>
          <w:tblCellMar>
            <w:top w:w="0" w:type="dxa"/>
            <w:left w:w="108" w:type="dxa"/>
            <w:bottom w:w="0" w:type="dxa"/>
            <w:right w:w="108" w:type="dxa"/>
          </w:tblCellMar>
        </w:tblPrEx>
        <w:trPr>
          <w:trHeight w:val="723" w:hRule="atLeast"/>
        </w:trPr>
        <w:tc>
          <w:tcPr>
            <w:tcW w:w="60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部门职能概述</w:t>
            </w:r>
          </w:p>
        </w:tc>
        <w:tc>
          <w:tcPr>
            <w:tcW w:w="4398"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统一组织、规划、部署市直机关党的工作，提出加强和改进机关党的建设的意见和建议，研究拟订工作规划，并抓好组织实施。指导市直机关党的政治建设、思想建设、组织建设、作风建设、纪律建设，把制度建设贯穿其中，深入推进反腐败斗争。指导市直机关各级党组织加强基层组织建设，做好党员发展、教育和管理等工作。协同有关部门指导、规划、协调、监督、检查市直机关干部教育培训工作，负责市直机关党务干部和基层党支部书记培训轮训工作。</w:t>
            </w:r>
          </w:p>
        </w:tc>
      </w:tr>
      <w:tr>
        <w:tblPrEx>
          <w:tblCellMar>
            <w:top w:w="0" w:type="dxa"/>
            <w:left w:w="108" w:type="dxa"/>
            <w:bottom w:w="0" w:type="dxa"/>
            <w:right w:w="108" w:type="dxa"/>
          </w:tblCellMar>
        </w:tblPrEx>
        <w:trPr>
          <w:trHeight w:val="479" w:hRule="atLeast"/>
        </w:trPr>
        <w:tc>
          <w:tcPr>
            <w:tcW w:w="60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年度主要任务</w:t>
            </w:r>
          </w:p>
        </w:tc>
        <w:tc>
          <w:tcPr>
            <w:tcW w:w="1737"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重点工作</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对应项目</w:t>
            </w:r>
          </w:p>
        </w:tc>
        <w:tc>
          <w:tcPr>
            <w:tcW w:w="11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预算资金情况</w:t>
            </w:r>
          </w:p>
        </w:tc>
        <w:tc>
          <w:tcPr>
            <w:tcW w:w="489"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完成时限</w:t>
            </w:r>
          </w:p>
        </w:tc>
      </w:tr>
      <w:tr>
        <w:tblPrEx>
          <w:tblCellMar>
            <w:top w:w="0" w:type="dxa"/>
            <w:left w:w="108" w:type="dxa"/>
            <w:bottom w:w="0" w:type="dxa"/>
            <w:right w:w="108" w:type="dxa"/>
          </w:tblCellMar>
        </w:tblPrEx>
        <w:trPr>
          <w:trHeight w:val="479"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通过有计划分层次高质量开展党员教育培训，坚定信仰、增强党性、提高素质。</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基层党建质量提升经费</w:t>
            </w:r>
          </w:p>
        </w:tc>
        <w:tc>
          <w:tcPr>
            <w:tcW w:w="11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000000"/>
                <w:sz w:val="14"/>
                <w:szCs w:val="14"/>
              </w:rPr>
            </w:pPr>
            <w:r>
              <w:rPr>
                <w:rFonts w:hint="eastAsia" w:ascii="宋体" w:hAnsi="宋体" w:cs="宋体"/>
                <w:color w:val="000000"/>
                <w:kern w:val="0"/>
                <w:sz w:val="14"/>
                <w:szCs w:val="14"/>
              </w:rPr>
              <w:t>12.00</w:t>
            </w:r>
          </w:p>
        </w:tc>
        <w:tc>
          <w:tcPr>
            <w:tcW w:w="489"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2021年12月</w:t>
            </w:r>
          </w:p>
        </w:tc>
      </w:tr>
      <w:tr>
        <w:tblPrEx>
          <w:tblCellMar>
            <w:top w:w="0" w:type="dxa"/>
            <w:left w:w="108" w:type="dxa"/>
            <w:bottom w:w="0" w:type="dxa"/>
            <w:right w:w="108" w:type="dxa"/>
          </w:tblCellMar>
        </w:tblPrEx>
        <w:trPr>
          <w:trHeight w:val="479"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人员行政经费支出。</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人员类项目</w:t>
            </w:r>
          </w:p>
        </w:tc>
        <w:tc>
          <w:tcPr>
            <w:tcW w:w="11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000000"/>
                <w:sz w:val="14"/>
                <w:szCs w:val="14"/>
              </w:rPr>
            </w:pPr>
            <w:r>
              <w:rPr>
                <w:rFonts w:hint="eastAsia" w:ascii="宋体" w:hAnsi="宋体" w:cs="宋体"/>
                <w:color w:val="000000"/>
                <w:kern w:val="0"/>
                <w:sz w:val="14"/>
                <w:szCs w:val="14"/>
              </w:rPr>
              <w:t>204.76</w:t>
            </w:r>
          </w:p>
        </w:tc>
        <w:tc>
          <w:tcPr>
            <w:tcW w:w="489"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2021年12月</w:t>
            </w:r>
          </w:p>
        </w:tc>
      </w:tr>
      <w:tr>
        <w:tblPrEx>
          <w:tblCellMar>
            <w:top w:w="0" w:type="dxa"/>
            <w:left w:w="108" w:type="dxa"/>
            <w:bottom w:w="0" w:type="dxa"/>
            <w:right w:w="108" w:type="dxa"/>
          </w:tblCellMar>
        </w:tblPrEx>
        <w:trPr>
          <w:trHeight w:val="479"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人员公用经费支出。</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公用经费项目</w:t>
            </w:r>
          </w:p>
        </w:tc>
        <w:tc>
          <w:tcPr>
            <w:tcW w:w="11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000000"/>
                <w:sz w:val="14"/>
                <w:szCs w:val="14"/>
              </w:rPr>
            </w:pPr>
            <w:r>
              <w:rPr>
                <w:rFonts w:hint="eastAsia" w:ascii="宋体" w:hAnsi="宋体" w:cs="宋体"/>
                <w:color w:val="000000"/>
                <w:kern w:val="0"/>
                <w:sz w:val="14"/>
                <w:szCs w:val="14"/>
              </w:rPr>
              <w:t>36.99</w:t>
            </w:r>
          </w:p>
        </w:tc>
        <w:tc>
          <w:tcPr>
            <w:tcW w:w="489"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2021年12月</w:t>
            </w:r>
          </w:p>
        </w:tc>
      </w:tr>
      <w:tr>
        <w:tblPrEx>
          <w:tblCellMar>
            <w:top w:w="0" w:type="dxa"/>
            <w:left w:w="108" w:type="dxa"/>
            <w:bottom w:w="0" w:type="dxa"/>
            <w:right w:w="108" w:type="dxa"/>
          </w:tblCellMar>
        </w:tblPrEx>
        <w:trPr>
          <w:trHeight w:val="479"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通过市直机关工委党建专栏《领航》平台，促进市直机关党的建设质量全面提升。</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基层党建宣传教育经费</w:t>
            </w:r>
          </w:p>
        </w:tc>
        <w:tc>
          <w:tcPr>
            <w:tcW w:w="11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000000"/>
                <w:sz w:val="14"/>
                <w:szCs w:val="14"/>
              </w:rPr>
            </w:pPr>
            <w:r>
              <w:rPr>
                <w:rFonts w:hint="eastAsia" w:ascii="宋体" w:hAnsi="宋体" w:cs="宋体"/>
                <w:color w:val="000000"/>
                <w:kern w:val="0"/>
                <w:sz w:val="14"/>
                <w:szCs w:val="14"/>
              </w:rPr>
              <w:t>5.00</w:t>
            </w:r>
          </w:p>
        </w:tc>
        <w:tc>
          <w:tcPr>
            <w:tcW w:w="489"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2021年12月</w:t>
            </w:r>
          </w:p>
        </w:tc>
      </w:tr>
      <w:tr>
        <w:tblPrEx>
          <w:tblCellMar>
            <w:top w:w="0" w:type="dxa"/>
            <w:left w:w="108" w:type="dxa"/>
            <w:bottom w:w="0" w:type="dxa"/>
            <w:right w:w="108" w:type="dxa"/>
          </w:tblCellMar>
        </w:tblPrEx>
        <w:trPr>
          <w:trHeight w:val="479"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提升机关党员干部廉洁从政服务观念，加强党风廉政建设，树牢为人民服务的宗旨意识。</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党风廉政建设宣传教育活动经费</w:t>
            </w:r>
          </w:p>
        </w:tc>
        <w:tc>
          <w:tcPr>
            <w:tcW w:w="11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000000"/>
                <w:sz w:val="14"/>
                <w:szCs w:val="14"/>
              </w:rPr>
            </w:pPr>
            <w:r>
              <w:rPr>
                <w:rFonts w:hint="eastAsia" w:ascii="宋体" w:hAnsi="宋体" w:cs="宋体"/>
                <w:color w:val="000000"/>
                <w:kern w:val="0"/>
                <w:sz w:val="14"/>
                <w:szCs w:val="14"/>
              </w:rPr>
              <w:t>1.00</w:t>
            </w:r>
          </w:p>
        </w:tc>
        <w:tc>
          <w:tcPr>
            <w:tcW w:w="489"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2021年12月</w:t>
            </w:r>
          </w:p>
        </w:tc>
      </w:tr>
      <w:tr>
        <w:tblPrEx>
          <w:tblCellMar>
            <w:top w:w="0" w:type="dxa"/>
            <w:left w:w="108" w:type="dxa"/>
            <w:bottom w:w="0" w:type="dxa"/>
            <w:right w:w="108" w:type="dxa"/>
          </w:tblCellMar>
        </w:tblPrEx>
        <w:trPr>
          <w:trHeight w:val="479"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73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通过</w:t>
            </w:r>
            <w:bookmarkStart w:id="0" w:name="_GoBack"/>
            <w:bookmarkEnd w:id="0"/>
            <w:r>
              <w:rPr>
                <w:rFonts w:hint="eastAsia" w:ascii="宋体" w:hAnsi="宋体" w:cs="宋体"/>
                <w:color w:val="000000"/>
                <w:kern w:val="0"/>
                <w:sz w:val="14"/>
                <w:szCs w:val="14"/>
                <w:lang w:eastAsia="zh-CN"/>
              </w:rPr>
              <w:t>庆祝中国共产党成立</w:t>
            </w:r>
            <w:r>
              <w:rPr>
                <w:rFonts w:hint="eastAsia" w:ascii="宋体" w:hAnsi="宋体" w:cs="宋体"/>
                <w:color w:val="000000"/>
                <w:kern w:val="0"/>
                <w:sz w:val="14"/>
                <w:szCs w:val="14"/>
              </w:rPr>
              <w:t>100周年活动，回顾党的奋斗历史，讴歌党的光辉业绩。</w:t>
            </w:r>
          </w:p>
        </w:tc>
        <w:tc>
          <w:tcPr>
            <w:tcW w:w="1003"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市直机关庆祝建党100周年表彰大会经费</w:t>
            </w:r>
          </w:p>
        </w:tc>
        <w:tc>
          <w:tcPr>
            <w:tcW w:w="1167" w:type="pct"/>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right"/>
              <w:textAlignment w:val="center"/>
              <w:rPr>
                <w:rFonts w:ascii="宋体" w:hAnsi="宋体" w:cs="宋体"/>
                <w:color w:val="000000"/>
                <w:sz w:val="14"/>
                <w:szCs w:val="14"/>
              </w:rPr>
            </w:pPr>
            <w:r>
              <w:rPr>
                <w:rFonts w:hint="eastAsia" w:ascii="宋体" w:hAnsi="宋体" w:cs="宋体"/>
                <w:color w:val="000000"/>
                <w:kern w:val="0"/>
                <w:sz w:val="14"/>
                <w:szCs w:val="14"/>
              </w:rPr>
              <w:t>3.50</w:t>
            </w:r>
          </w:p>
        </w:tc>
        <w:tc>
          <w:tcPr>
            <w:tcW w:w="489"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2021年12月</w:t>
            </w:r>
          </w:p>
        </w:tc>
      </w:tr>
      <w:tr>
        <w:tblPrEx>
          <w:tblCellMar>
            <w:top w:w="0" w:type="dxa"/>
            <w:left w:w="108" w:type="dxa"/>
            <w:bottom w:w="0" w:type="dxa"/>
            <w:right w:w="108" w:type="dxa"/>
          </w:tblCellMar>
        </w:tblPrEx>
        <w:trPr>
          <w:trHeight w:val="479" w:hRule="atLeast"/>
        </w:trPr>
        <w:tc>
          <w:tcPr>
            <w:tcW w:w="60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年度绩效目标</w:t>
            </w:r>
          </w:p>
        </w:tc>
        <w:tc>
          <w:tcPr>
            <w:tcW w:w="4398"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通过有计划分层次高质量开展党员教育培训，坚定信仰、增强党性、提高素质。</w:t>
            </w:r>
          </w:p>
        </w:tc>
      </w:tr>
      <w:tr>
        <w:tblPrEx>
          <w:tblCellMar>
            <w:top w:w="0" w:type="dxa"/>
            <w:left w:w="108" w:type="dxa"/>
            <w:bottom w:w="0" w:type="dxa"/>
            <w:right w:w="108" w:type="dxa"/>
          </w:tblCellMar>
        </w:tblPrEx>
        <w:trPr>
          <w:trHeight w:val="479"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4398"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通过市直机关工委党建专栏《领航》平台，促进市直机关党的建设质量全面提升。</w:t>
            </w:r>
          </w:p>
        </w:tc>
      </w:tr>
      <w:tr>
        <w:tblPrEx>
          <w:tblCellMar>
            <w:top w:w="0" w:type="dxa"/>
            <w:left w:w="108" w:type="dxa"/>
            <w:bottom w:w="0" w:type="dxa"/>
            <w:right w:w="108" w:type="dxa"/>
          </w:tblCellMar>
        </w:tblPrEx>
        <w:trPr>
          <w:trHeight w:val="479"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4398"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提升机关党员干部廉洁从政服务观念，加强党风廉政建设，树牢为人民服务的宗旨意识。</w:t>
            </w:r>
          </w:p>
        </w:tc>
      </w:tr>
      <w:tr>
        <w:tblPrEx>
          <w:tblCellMar>
            <w:top w:w="0" w:type="dxa"/>
            <w:left w:w="108" w:type="dxa"/>
            <w:bottom w:w="0" w:type="dxa"/>
            <w:right w:w="108" w:type="dxa"/>
          </w:tblCellMar>
        </w:tblPrEx>
        <w:trPr>
          <w:trHeight w:val="479"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4398" w:type="pct"/>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4"/>
                <w:szCs w:val="14"/>
              </w:rPr>
            </w:pPr>
            <w:r>
              <w:rPr>
                <w:rFonts w:hint="eastAsia" w:ascii="宋体" w:hAnsi="宋体" w:cs="宋体"/>
                <w:color w:val="000000"/>
                <w:kern w:val="0"/>
                <w:sz w:val="14"/>
                <w:szCs w:val="14"/>
              </w:rPr>
              <w:t>通过</w:t>
            </w:r>
            <w:r>
              <w:rPr>
                <w:rFonts w:hint="eastAsia" w:ascii="宋体" w:hAnsi="宋体" w:cs="宋体"/>
                <w:color w:val="000000"/>
                <w:kern w:val="0"/>
                <w:sz w:val="14"/>
                <w:szCs w:val="14"/>
                <w:lang w:eastAsia="zh-CN"/>
              </w:rPr>
              <w:t>庆祝中国共产党成立</w:t>
            </w:r>
            <w:r>
              <w:rPr>
                <w:rFonts w:hint="eastAsia" w:ascii="宋体" w:hAnsi="宋体" w:cs="宋体"/>
                <w:color w:val="000000"/>
                <w:kern w:val="0"/>
                <w:sz w:val="14"/>
                <w:szCs w:val="14"/>
              </w:rPr>
              <w:t>100周年活动，增强党组强的凝聚力和战斗力。</w:t>
            </w:r>
          </w:p>
        </w:tc>
      </w:tr>
      <w:tr>
        <w:tblPrEx>
          <w:tblCellMar>
            <w:top w:w="0" w:type="dxa"/>
            <w:left w:w="108" w:type="dxa"/>
            <w:bottom w:w="0" w:type="dxa"/>
            <w:right w:w="108" w:type="dxa"/>
          </w:tblCellMar>
        </w:tblPrEx>
        <w:trPr>
          <w:trHeight w:val="479" w:hRule="atLeast"/>
        </w:trPr>
        <w:tc>
          <w:tcPr>
            <w:tcW w:w="601" w:type="pct"/>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年度绩效指标</w:t>
            </w:r>
          </w:p>
        </w:tc>
        <w:tc>
          <w:tcPr>
            <w:tcW w:w="1100"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一级指标</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二级指标</w:t>
            </w:r>
          </w:p>
        </w:tc>
        <w:tc>
          <w:tcPr>
            <w:tcW w:w="639"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三级指标</w:t>
            </w:r>
          </w:p>
        </w:tc>
        <w:tc>
          <w:tcPr>
            <w:tcW w:w="3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运算符号</w:t>
            </w:r>
          </w:p>
        </w:tc>
        <w:tc>
          <w:tcPr>
            <w:tcW w:w="83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指标值</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度量单位</w:t>
            </w:r>
          </w:p>
        </w:tc>
        <w:tc>
          <w:tcPr>
            <w:tcW w:w="489"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完成时限</w:t>
            </w:r>
          </w:p>
        </w:tc>
      </w:tr>
      <w:tr>
        <w:tblPrEx>
          <w:tblCellMar>
            <w:top w:w="0" w:type="dxa"/>
            <w:left w:w="108" w:type="dxa"/>
            <w:bottom w:w="0" w:type="dxa"/>
            <w:right w:w="108" w:type="dxa"/>
          </w:tblCellMar>
        </w:tblPrEx>
        <w:trPr>
          <w:trHeight w:val="479"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00"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履职效能</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重点工作履行情况</w:t>
            </w:r>
          </w:p>
        </w:tc>
        <w:tc>
          <w:tcPr>
            <w:tcW w:w="6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重点工作办结率</w:t>
            </w:r>
          </w:p>
        </w:tc>
        <w:tc>
          <w:tcPr>
            <w:tcW w:w="3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w:t>
            </w:r>
          </w:p>
        </w:tc>
        <w:tc>
          <w:tcPr>
            <w:tcW w:w="83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100</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w:t>
            </w:r>
          </w:p>
        </w:tc>
        <w:tc>
          <w:tcPr>
            <w:tcW w:w="489"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2021年12月</w:t>
            </w:r>
          </w:p>
        </w:tc>
      </w:tr>
      <w:tr>
        <w:tblPrEx>
          <w:tblCellMar>
            <w:top w:w="0" w:type="dxa"/>
            <w:left w:w="108" w:type="dxa"/>
            <w:bottom w:w="0" w:type="dxa"/>
            <w:right w:w="108" w:type="dxa"/>
          </w:tblCellMar>
        </w:tblPrEx>
        <w:trPr>
          <w:trHeight w:val="479"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0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14"/>
                <w:szCs w:val="14"/>
              </w:rPr>
            </w:pPr>
          </w:p>
        </w:tc>
        <w:tc>
          <w:tcPr>
            <w:tcW w:w="637"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整体工作完成情况</w:t>
            </w:r>
          </w:p>
        </w:tc>
        <w:tc>
          <w:tcPr>
            <w:tcW w:w="6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工作完成及时率</w:t>
            </w:r>
          </w:p>
        </w:tc>
        <w:tc>
          <w:tcPr>
            <w:tcW w:w="3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w:t>
            </w:r>
          </w:p>
        </w:tc>
        <w:tc>
          <w:tcPr>
            <w:tcW w:w="83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100</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w:t>
            </w:r>
          </w:p>
        </w:tc>
        <w:tc>
          <w:tcPr>
            <w:tcW w:w="489"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2021年12月</w:t>
            </w:r>
          </w:p>
        </w:tc>
      </w:tr>
      <w:tr>
        <w:tblPrEx>
          <w:tblCellMar>
            <w:top w:w="0" w:type="dxa"/>
            <w:left w:w="108" w:type="dxa"/>
            <w:bottom w:w="0" w:type="dxa"/>
            <w:right w:w="108" w:type="dxa"/>
          </w:tblCellMar>
        </w:tblPrEx>
        <w:trPr>
          <w:trHeight w:val="479"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0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14"/>
                <w:szCs w:val="14"/>
              </w:rPr>
            </w:pPr>
          </w:p>
        </w:tc>
        <w:tc>
          <w:tcPr>
            <w:tcW w:w="63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14"/>
                <w:szCs w:val="14"/>
              </w:rPr>
            </w:pPr>
          </w:p>
        </w:tc>
        <w:tc>
          <w:tcPr>
            <w:tcW w:w="6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总体工作完成率</w:t>
            </w:r>
          </w:p>
        </w:tc>
        <w:tc>
          <w:tcPr>
            <w:tcW w:w="3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w:t>
            </w:r>
          </w:p>
        </w:tc>
        <w:tc>
          <w:tcPr>
            <w:tcW w:w="83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100</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w:t>
            </w:r>
          </w:p>
        </w:tc>
        <w:tc>
          <w:tcPr>
            <w:tcW w:w="489"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2021年12月</w:t>
            </w:r>
          </w:p>
        </w:tc>
      </w:tr>
      <w:tr>
        <w:tblPrEx>
          <w:tblCellMar>
            <w:top w:w="0" w:type="dxa"/>
            <w:left w:w="108" w:type="dxa"/>
            <w:bottom w:w="0" w:type="dxa"/>
            <w:right w:w="108" w:type="dxa"/>
          </w:tblCellMar>
        </w:tblPrEx>
        <w:trPr>
          <w:trHeight w:val="479"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0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14"/>
                <w:szCs w:val="14"/>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基础管理</w:t>
            </w:r>
          </w:p>
        </w:tc>
        <w:tc>
          <w:tcPr>
            <w:tcW w:w="6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依法行政能力</w:t>
            </w:r>
          </w:p>
        </w:tc>
        <w:tc>
          <w:tcPr>
            <w:tcW w:w="3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83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管理规范</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489"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2021年12月</w:t>
            </w:r>
          </w:p>
        </w:tc>
      </w:tr>
      <w:tr>
        <w:tblPrEx>
          <w:tblCellMar>
            <w:top w:w="0" w:type="dxa"/>
            <w:left w:w="108" w:type="dxa"/>
            <w:bottom w:w="0" w:type="dxa"/>
            <w:right w:w="108" w:type="dxa"/>
          </w:tblCellMar>
        </w:tblPrEx>
        <w:trPr>
          <w:trHeight w:val="479"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00"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预算执行</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预算执行效率</w:t>
            </w:r>
          </w:p>
        </w:tc>
        <w:tc>
          <w:tcPr>
            <w:tcW w:w="6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预算调整率</w:t>
            </w:r>
          </w:p>
        </w:tc>
        <w:tc>
          <w:tcPr>
            <w:tcW w:w="3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&lt;=</w:t>
            </w:r>
          </w:p>
        </w:tc>
        <w:tc>
          <w:tcPr>
            <w:tcW w:w="83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5</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w:t>
            </w:r>
          </w:p>
        </w:tc>
        <w:tc>
          <w:tcPr>
            <w:tcW w:w="489"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2021年12月</w:t>
            </w:r>
          </w:p>
        </w:tc>
      </w:tr>
      <w:tr>
        <w:tblPrEx>
          <w:tblCellMar>
            <w:top w:w="0" w:type="dxa"/>
            <w:left w:w="108" w:type="dxa"/>
            <w:bottom w:w="0" w:type="dxa"/>
            <w:right w:w="108" w:type="dxa"/>
          </w:tblCellMar>
        </w:tblPrEx>
        <w:trPr>
          <w:trHeight w:val="479"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00"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管理效率</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预算编制管理</w:t>
            </w:r>
          </w:p>
        </w:tc>
        <w:tc>
          <w:tcPr>
            <w:tcW w:w="6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预算绩效目标覆盖率</w:t>
            </w:r>
          </w:p>
        </w:tc>
        <w:tc>
          <w:tcPr>
            <w:tcW w:w="3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w:t>
            </w:r>
          </w:p>
        </w:tc>
        <w:tc>
          <w:tcPr>
            <w:tcW w:w="83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100</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w:t>
            </w:r>
          </w:p>
        </w:tc>
        <w:tc>
          <w:tcPr>
            <w:tcW w:w="489"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2021年12月</w:t>
            </w:r>
          </w:p>
        </w:tc>
      </w:tr>
      <w:tr>
        <w:tblPrEx>
          <w:tblCellMar>
            <w:top w:w="0" w:type="dxa"/>
            <w:left w:w="108" w:type="dxa"/>
            <w:bottom w:w="0" w:type="dxa"/>
            <w:right w:w="108" w:type="dxa"/>
          </w:tblCellMar>
        </w:tblPrEx>
        <w:trPr>
          <w:trHeight w:val="479"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0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14"/>
                <w:szCs w:val="14"/>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预算监督管理</w:t>
            </w:r>
          </w:p>
        </w:tc>
        <w:tc>
          <w:tcPr>
            <w:tcW w:w="6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预决算公开情况</w:t>
            </w:r>
          </w:p>
        </w:tc>
        <w:tc>
          <w:tcPr>
            <w:tcW w:w="3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83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全部公开</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489"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2021年12月</w:t>
            </w:r>
          </w:p>
        </w:tc>
      </w:tr>
      <w:tr>
        <w:tblPrEx>
          <w:tblCellMar>
            <w:top w:w="0" w:type="dxa"/>
            <w:left w:w="108" w:type="dxa"/>
            <w:bottom w:w="0" w:type="dxa"/>
            <w:right w:w="108" w:type="dxa"/>
          </w:tblCellMar>
        </w:tblPrEx>
        <w:trPr>
          <w:trHeight w:val="479"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0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14"/>
                <w:szCs w:val="14"/>
              </w:rPr>
            </w:pPr>
          </w:p>
        </w:tc>
        <w:tc>
          <w:tcPr>
            <w:tcW w:w="637"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预算收支管理</w:t>
            </w:r>
          </w:p>
        </w:tc>
        <w:tc>
          <w:tcPr>
            <w:tcW w:w="6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预算支出管理规范性</w:t>
            </w:r>
          </w:p>
        </w:tc>
        <w:tc>
          <w:tcPr>
            <w:tcW w:w="3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83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管理规范</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489"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2021年12月</w:t>
            </w:r>
          </w:p>
        </w:tc>
      </w:tr>
      <w:tr>
        <w:tblPrEx>
          <w:tblCellMar>
            <w:top w:w="0" w:type="dxa"/>
            <w:left w:w="108" w:type="dxa"/>
            <w:bottom w:w="0" w:type="dxa"/>
            <w:right w:w="108" w:type="dxa"/>
          </w:tblCellMar>
        </w:tblPrEx>
        <w:trPr>
          <w:trHeight w:val="479"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0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14"/>
                <w:szCs w:val="14"/>
              </w:rPr>
            </w:pPr>
          </w:p>
        </w:tc>
        <w:tc>
          <w:tcPr>
            <w:tcW w:w="63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14"/>
                <w:szCs w:val="14"/>
              </w:rPr>
            </w:pPr>
          </w:p>
        </w:tc>
        <w:tc>
          <w:tcPr>
            <w:tcW w:w="6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预算收入管理规范性</w:t>
            </w:r>
          </w:p>
        </w:tc>
        <w:tc>
          <w:tcPr>
            <w:tcW w:w="3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83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管理规范</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489"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2021年12月</w:t>
            </w:r>
          </w:p>
        </w:tc>
      </w:tr>
      <w:tr>
        <w:tblPrEx>
          <w:tblCellMar>
            <w:top w:w="0" w:type="dxa"/>
            <w:left w:w="108" w:type="dxa"/>
            <w:bottom w:w="0" w:type="dxa"/>
            <w:right w:w="108" w:type="dxa"/>
          </w:tblCellMar>
        </w:tblPrEx>
        <w:trPr>
          <w:trHeight w:val="479"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0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14"/>
                <w:szCs w:val="14"/>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财务管理</w:t>
            </w:r>
          </w:p>
        </w:tc>
        <w:tc>
          <w:tcPr>
            <w:tcW w:w="6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内控制度有效性</w:t>
            </w:r>
          </w:p>
        </w:tc>
        <w:tc>
          <w:tcPr>
            <w:tcW w:w="3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83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制度有效</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489"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2021年12月</w:t>
            </w:r>
          </w:p>
        </w:tc>
      </w:tr>
      <w:tr>
        <w:tblPrEx>
          <w:tblCellMar>
            <w:top w:w="0" w:type="dxa"/>
            <w:left w:w="108" w:type="dxa"/>
            <w:bottom w:w="0" w:type="dxa"/>
            <w:right w:w="108" w:type="dxa"/>
          </w:tblCellMar>
        </w:tblPrEx>
        <w:trPr>
          <w:trHeight w:val="479"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0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14"/>
                <w:szCs w:val="14"/>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资产管理</w:t>
            </w:r>
          </w:p>
        </w:tc>
        <w:tc>
          <w:tcPr>
            <w:tcW w:w="6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固定资产利用率</w:t>
            </w:r>
          </w:p>
        </w:tc>
        <w:tc>
          <w:tcPr>
            <w:tcW w:w="3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w:t>
            </w:r>
          </w:p>
        </w:tc>
        <w:tc>
          <w:tcPr>
            <w:tcW w:w="83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100</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w:t>
            </w:r>
          </w:p>
        </w:tc>
        <w:tc>
          <w:tcPr>
            <w:tcW w:w="489"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2021年12月</w:t>
            </w:r>
          </w:p>
        </w:tc>
      </w:tr>
      <w:tr>
        <w:tblPrEx>
          <w:tblCellMar>
            <w:top w:w="0" w:type="dxa"/>
            <w:left w:w="108" w:type="dxa"/>
            <w:bottom w:w="0" w:type="dxa"/>
            <w:right w:w="108" w:type="dxa"/>
          </w:tblCellMar>
        </w:tblPrEx>
        <w:trPr>
          <w:trHeight w:val="479"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0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14"/>
                <w:szCs w:val="14"/>
              </w:rPr>
            </w:pP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业务管理</w:t>
            </w:r>
          </w:p>
        </w:tc>
        <w:tc>
          <w:tcPr>
            <w:tcW w:w="6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政府采购管理违法违规行为发生次数</w:t>
            </w:r>
          </w:p>
        </w:tc>
        <w:tc>
          <w:tcPr>
            <w:tcW w:w="3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w:t>
            </w:r>
          </w:p>
        </w:tc>
        <w:tc>
          <w:tcPr>
            <w:tcW w:w="83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0</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次</w:t>
            </w:r>
          </w:p>
        </w:tc>
        <w:tc>
          <w:tcPr>
            <w:tcW w:w="489"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2021年12月</w:t>
            </w:r>
          </w:p>
        </w:tc>
      </w:tr>
      <w:tr>
        <w:tblPrEx>
          <w:tblCellMar>
            <w:top w:w="0" w:type="dxa"/>
            <w:left w:w="108" w:type="dxa"/>
            <w:bottom w:w="0" w:type="dxa"/>
            <w:right w:w="108" w:type="dxa"/>
          </w:tblCellMar>
        </w:tblPrEx>
        <w:trPr>
          <w:trHeight w:val="479"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00"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运行成本</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成本控制成效</w:t>
            </w:r>
          </w:p>
        </w:tc>
        <w:tc>
          <w:tcPr>
            <w:tcW w:w="6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在职人员控制率</w:t>
            </w:r>
          </w:p>
        </w:tc>
        <w:tc>
          <w:tcPr>
            <w:tcW w:w="3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&lt;=</w:t>
            </w:r>
          </w:p>
        </w:tc>
        <w:tc>
          <w:tcPr>
            <w:tcW w:w="83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100</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w:t>
            </w:r>
          </w:p>
        </w:tc>
        <w:tc>
          <w:tcPr>
            <w:tcW w:w="489"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2021年12月</w:t>
            </w:r>
          </w:p>
        </w:tc>
      </w:tr>
      <w:tr>
        <w:tblPrEx>
          <w:tblCellMar>
            <w:top w:w="0" w:type="dxa"/>
            <w:left w:w="108" w:type="dxa"/>
            <w:bottom w:w="0" w:type="dxa"/>
            <w:right w:w="108" w:type="dxa"/>
          </w:tblCellMar>
        </w:tblPrEx>
        <w:trPr>
          <w:trHeight w:val="479"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00"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社会效应</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社会效益</w:t>
            </w:r>
          </w:p>
        </w:tc>
        <w:tc>
          <w:tcPr>
            <w:tcW w:w="6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调查成果辅助决策采纳率</w:t>
            </w:r>
          </w:p>
        </w:tc>
        <w:tc>
          <w:tcPr>
            <w:tcW w:w="3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&gt;=</w:t>
            </w:r>
          </w:p>
        </w:tc>
        <w:tc>
          <w:tcPr>
            <w:tcW w:w="83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100</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w:t>
            </w:r>
          </w:p>
        </w:tc>
        <w:tc>
          <w:tcPr>
            <w:tcW w:w="489"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2021年12月</w:t>
            </w:r>
          </w:p>
        </w:tc>
      </w:tr>
      <w:tr>
        <w:tblPrEx>
          <w:tblCellMar>
            <w:top w:w="0" w:type="dxa"/>
            <w:left w:w="108" w:type="dxa"/>
            <w:bottom w:w="0" w:type="dxa"/>
            <w:right w:w="108" w:type="dxa"/>
          </w:tblCellMar>
        </w:tblPrEx>
        <w:trPr>
          <w:trHeight w:val="479"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0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14"/>
                <w:szCs w:val="14"/>
              </w:rPr>
            </w:pPr>
          </w:p>
        </w:tc>
        <w:tc>
          <w:tcPr>
            <w:tcW w:w="637" w:type="pct"/>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服务对象满意度</w:t>
            </w:r>
          </w:p>
        </w:tc>
        <w:tc>
          <w:tcPr>
            <w:tcW w:w="6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参训人员满意度</w:t>
            </w:r>
          </w:p>
        </w:tc>
        <w:tc>
          <w:tcPr>
            <w:tcW w:w="3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&gt;=</w:t>
            </w:r>
          </w:p>
        </w:tc>
        <w:tc>
          <w:tcPr>
            <w:tcW w:w="83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100</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w:t>
            </w:r>
          </w:p>
        </w:tc>
        <w:tc>
          <w:tcPr>
            <w:tcW w:w="489"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2021年12月</w:t>
            </w:r>
          </w:p>
        </w:tc>
      </w:tr>
      <w:tr>
        <w:tblPrEx>
          <w:tblCellMar>
            <w:top w:w="0" w:type="dxa"/>
            <w:left w:w="108" w:type="dxa"/>
            <w:bottom w:w="0" w:type="dxa"/>
            <w:right w:w="108" w:type="dxa"/>
          </w:tblCellMar>
        </w:tblPrEx>
        <w:trPr>
          <w:trHeight w:val="479"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00"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14"/>
                <w:szCs w:val="14"/>
              </w:rPr>
            </w:pPr>
          </w:p>
        </w:tc>
        <w:tc>
          <w:tcPr>
            <w:tcW w:w="637" w:type="pct"/>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pPr>
              <w:jc w:val="center"/>
              <w:rPr>
                <w:rFonts w:ascii="宋体" w:hAnsi="宋体" w:cs="宋体"/>
                <w:color w:val="000000"/>
                <w:sz w:val="14"/>
                <w:szCs w:val="14"/>
              </w:rPr>
            </w:pPr>
          </w:p>
        </w:tc>
        <w:tc>
          <w:tcPr>
            <w:tcW w:w="6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客户满意度</w:t>
            </w:r>
          </w:p>
        </w:tc>
        <w:tc>
          <w:tcPr>
            <w:tcW w:w="3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&gt;=</w:t>
            </w:r>
          </w:p>
        </w:tc>
        <w:tc>
          <w:tcPr>
            <w:tcW w:w="83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100</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w:t>
            </w:r>
          </w:p>
        </w:tc>
        <w:tc>
          <w:tcPr>
            <w:tcW w:w="489"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2021年12月</w:t>
            </w:r>
          </w:p>
        </w:tc>
      </w:tr>
      <w:tr>
        <w:tblPrEx>
          <w:tblCellMar>
            <w:top w:w="0" w:type="dxa"/>
            <w:left w:w="108" w:type="dxa"/>
            <w:bottom w:w="0" w:type="dxa"/>
            <w:right w:w="108" w:type="dxa"/>
          </w:tblCellMar>
        </w:tblPrEx>
        <w:trPr>
          <w:trHeight w:val="479" w:hRule="atLeast"/>
        </w:trPr>
        <w:tc>
          <w:tcPr>
            <w:tcW w:w="601" w:type="pct"/>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100"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可持续性</w:t>
            </w:r>
          </w:p>
        </w:tc>
        <w:tc>
          <w:tcPr>
            <w:tcW w:w="637"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体制机制改革</w:t>
            </w:r>
          </w:p>
        </w:tc>
        <w:tc>
          <w:tcPr>
            <w:tcW w:w="639"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建立预算绩效管理机制</w:t>
            </w:r>
          </w:p>
        </w:tc>
        <w:tc>
          <w:tcPr>
            <w:tcW w:w="36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833"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完善制度</w:t>
            </w:r>
          </w:p>
        </w:tc>
        <w:tc>
          <w:tcPr>
            <w:tcW w:w="334"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489" w:type="pct"/>
            <w:tcBorders>
              <w:top w:val="single" w:color="000000" w:sz="4" w:space="0"/>
              <w:left w:val="single" w:color="000000" w:sz="4" w:space="0"/>
              <w:bottom w:val="single" w:color="000000" w:sz="4" w:space="0"/>
              <w:right w:val="single" w:color="000000" w:sz="4" w:space="0"/>
            </w:tcBorders>
            <w:shd w:val="clear" w:color="FFFFFF" w:fill="FFFFFF"/>
            <w:noWrap/>
            <w:vAlign w:val="center"/>
          </w:tcPr>
          <w:p>
            <w:pPr>
              <w:widowControl/>
              <w:jc w:val="center"/>
              <w:textAlignment w:val="center"/>
              <w:rPr>
                <w:rFonts w:ascii="宋体" w:hAnsi="宋体" w:cs="宋体"/>
                <w:color w:val="000000"/>
                <w:sz w:val="14"/>
                <w:szCs w:val="14"/>
              </w:rPr>
            </w:pPr>
            <w:r>
              <w:rPr>
                <w:rFonts w:hint="eastAsia" w:ascii="宋体" w:hAnsi="宋体" w:cs="宋体"/>
                <w:color w:val="000000"/>
                <w:kern w:val="0"/>
                <w:sz w:val="14"/>
                <w:szCs w:val="14"/>
              </w:rPr>
              <w:t>2021年12月</w:t>
            </w:r>
          </w:p>
        </w:tc>
      </w:tr>
    </w:tbl>
    <w:p>
      <w:pPr>
        <w:spacing w:line="540" w:lineRule="exact"/>
        <w:jc w:val="center"/>
        <w:rPr>
          <w:rFonts w:ascii="仿宋_GB2312" w:hAnsi="宋体" w:eastAsia="仿宋_GB2312" w:cs="仿宋_GB2312"/>
          <w:b/>
          <w:bCs/>
          <w:sz w:val="32"/>
          <w:szCs w:val="32"/>
        </w:rPr>
      </w:pPr>
    </w:p>
    <w:p>
      <w:pPr>
        <w:rPr>
          <w:rFonts w:ascii="仿宋_GB2312" w:hAnsi="宋体" w:eastAsia="仿宋_GB2312" w:cs="仿宋_GB2312"/>
          <w:b/>
          <w:bCs/>
          <w:sz w:val="32"/>
          <w:szCs w:val="32"/>
        </w:rPr>
      </w:pPr>
    </w:p>
    <w:tbl>
      <w:tblPr>
        <w:tblStyle w:val="4"/>
        <w:tblW w:w="0" w:type="auto"/>
        <w:tblInd w:w="93" w:type="dxa"/>
        <w:tblLayout w:type="autofit"/>
        <w:tblCellMar>
          <w:top w:w="0" w:type="dxa"/>
          <w:left w:w="108" w:type="dxa"/>
          <w:bottom w:w="0" w:type="dxa"/>
          <w:right w:w="108" w:type="dxa"/>
        </w:tblCellMar>
      </w:tblPr>
      <w:tblGrid>
        <w:gridCol w:w="405"/>
        <w:gridCol w:w="405"/>
        <w:gridCol w:w="405"/>
        <w:gridCol w:w="405"/>
        <w:gridCol w:w="406"/>
        <w:gridCol w:w="499"/>
        <w:gridCol w:w="406"/>
        <w:gridCol w:w="971"/>
        <w:gridCol w:w="406"/>
        <w:gridCol w:w="499"/>
        <w:gridCol w:w="595"/>
        <w:gridCol w:w="576"/>
        <w:gridCol w:w="406"/>
        <w:gridCol w:w="406"/>
        <w:gridCol w:w="406"/>
        <w:gridCol w:w="406"/>
        <w:gridCol w:w="499"/>
        <w:gridCol w:w="499"/>
        <w:gridCol w:w="593"/>
      </w:tblGrid>
      <w:tr>
        <w:tblPrEx>
          <w:tblCellMar>
            <w:top w:w="0" w:type="dxa"/>
            <w:left w:w="108" w:type="dxa"/>
            <w:bottom w:w="0" w:type="dxa"/>
            <w:right w:w="108" w:type="dxa"/>
          </w:tblCellMar>
        </w:tblPrEx>
        <w:trPr>
          <w:trHeight w:val="624" w:hRule="atLeast"/>
        </w:trPr>
        <w:tc>
          <w:tcPr>
            <w:tcW w:w="0" w:type="auto"/>
            <w:gridSpan w:val="19"/>
            <w:vMerge w:val="restart"/>
            <w:tcBorders>
              <w:top w:val="nil"/>
              <w:left w:val="nil"/>
              <w:bottom w:val="nil"/>
              <w:right w:val="nil"/>
            </w:tcBorders>
            <w:shd w:val="clear" w:color="auto" w:fill="FFFFFF"/>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部门（单位）整体绩效自评表</w:t>
            </w:r>
            <w:r>
              <w:rPr>
                <w:rFonts w:hint="eastAsia" w:ascii="宋体" w:hAnsi="宋体" w:cs="宋体"/>
                <w:b/>
                <w:bCs/>
                <w:color w:val="000000"/>
                <w:kern w:val="0"/>
                <w:sz w:val="32"/>
                <w:szCs w:val="32"/>
              </w:rPr>
              <w:br w:type="textWrapping"/>
            </w:r>
            <w:r>
              <w:rPr>
                <w:rStyle w:val="10"/>
                <w:rFonts w:hint="default"/>
              </w:rPr>
              <w:t>（2021年度）</w:t>
            </w:r>
          </w:p>
        </w:tc>
      </w:tr>
      <w:tr>
        <w:tblPrEx>
          <w:tblCellMar>
            <w:top w:w="0" w:type="dxa"/>
            <w:left w:w="108" w:type="dxa"/>
            <w:bottom w:w="0" w:type="dxa"/>
            <w:right w:w="108" w:type="dxa"/>
          </w:tblCellMar>
        </w:tblPrEx>
        <w:trPr>
          <w:trHeight w:val="624" w:hRule="atLeast"/>
        </w:trPr>
        <w:tc>
          <w:tcPr>
            <w:tcW w:w="0" w:type="auto"/>
            <w:gridSpan w:val="19"/>
            <w:vMerge w:val="continue"/>
            <w:tcBorders>
              <w:top w:val="nil"/>
              <w:left w:val="nil"/>
              <w:bottom w:val="nil"/>
              <w:right w:val="nil"/>
            </w:tcBorders>
            <w:shd w:val="clear" w:color="auto" w:fill="FFFFFF"/>
            <w:vAlign w:val="center"/>
          </w:tcPr>
          <w:p>
            <w:pPr>
              <w:jc w:val="center"/>
              <w:rPr>
                <w:rFonts w:ascii="宋体" w:hAnsi="宋体" w:cs="宋体"/>
                <w:b/>
                <w:bCs/>
                <w:color w:val="000000"/>
                <w:sz w:val="32"/>
                <w:szCs w:val="32"/>
              </w:rPr>
            </w:pPr>
          </w:p>
        </w:tc>
      </w:tr>
      <w:tr>
        <w:tblPrEx>
          <w:tblCellMar>
            <w:top w:w="0" w:type="dxa"/>
            <w:left w:w="108" w:type="dxa"/>
            <w:bottom w:w="0" w:type="dxa"/>
            <w:right w:w="108" w:type="dxa"/>
          </w:tblCellMar>
        </w:tblPrEx>
        <w:trPr>
          <w:trHeight w:val="624" w:hRule="atLeast"/>
        </w:trPr>
        <w:tc>
          <w:tcPr>
            <w:tcW w:w="0" w:type="auto"/>
            <w:gridSpan w:val="19"/>
            <w:vMerge w:val="continue"/>
            <w:tcBorders>
              <w:top w:val="nil"/>
              <w:left w:val="nil"/>
              <w:bottom w:val="nil"/>
              <w:right w:val="nil"/>
            </w:tcBorders>
            <w:shd w:val="clear" w:color="auto" w:fill="FFFFFF"/>
            <w:vAlign w:val="center"/>
          </w:tcPr>
          <w:p>
            <w:pPr>
              <w:jc w:val="center"/>
              <w:rPr>
                <w:rFonts w:ascii="宋体" w:hAnsi="宋体" w:cs="宋体"/>
                <w:b/>
                <w:bCs/>
                <w:color w:val="000000"/>
                <w:sz w:val="32"/>
                <w:szCs w:val="32"/>
              </w:rPr>
            </w:pPr>
          </w:p>
        </w:tc>
      </w:tr>
      <w:tr>
        <w:tblPrEx>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部门（单位）名称</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112011中共盘锦市直属机关工作委员会-211100000</w:t>
            </w:r>
          </w:p>
        </w:tc>
      </w:tr>
      <w:tr>
        <w:tblPrEx>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部门年初预算收入金额</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263.25</w:t>
            </w:r>
          </w:p>
        </w:tc>
      </w:tr>
      <w:tr>
        <w:tblPrEx>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部门年初预算支出金额</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263.25</w:t>
            </w:r>
          </w:p>
        </w:tc>
      </w:tr>
      <w:tr>
        <w:tblPrEx>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年度主要任务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工作名称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对应项目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项目下达金额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项目执行金额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项目执行率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完成情况</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通过有计划分层次高质量开展党员教育培训，坚定信仰、增强党性、提高素质。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基层党建质量提升经费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通过市直机关工委党建专栏《领航》平台，促进市直机关党的建设质量全面提升。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基层党建宣传教育经费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通过</w:t>
            </w:r>
            <w:r>
              <w:rPr>
                <w:rFonts w:hint="eastAsia" w:ascii="宋体" w:hAnsi="宋体" w:cs="宋体"/>
                <w:color w:val="000000"/>
                <w:kern w:val="0"/>
                <w:sz w:val="20"/>
                <w:szCs w:val="20"/>
                <w:lang w:eastAsia="zh-CN"/>
              </w:rPr>
              <w:t>庆祝中国共产党成立</w:t>
            </w:r>
            <w:r>
              <w:rPr>
                <w:rFonts w:hint="eastAsia" w:ascii="宋体" w:hAnsi="宋体" w:cs="宋体"/>
                <w:color w:val="000000"/>
                <w:kern w:val="0"/>
                <w:sz w:val="20"/>
                <w:szCs w:val="20"/>
              </w:rPr>
              <w:t>100周年活动，回顾党的奋斗历史，讴歌党的光辉业绩。</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市直机关庆祝建党100周年表彰大会经费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提升机关党员干部廉洁从政服务观念，加强党风廉政建设，树牢为人民服务的宗旨意识。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党风廉政建设宣传教育活动经费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人员公用经费支出。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公用经费项目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36.983959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36.98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已完成。</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人员行政经费支出。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人员类项目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293.649258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293.64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已完成。</w:t>
            </w:r>
          </w:p>
        </w:tc>
      </w:tr>
      <w:tr>
        <w:tblPrEx>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年度目标</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年初总体目标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全年完成情况</w:t>
            </w:r>
          </w:p>
        </w:tc>
      </w:tr>
      <w:tr>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提升机关党员干部廉洁从政服务观念，加强党风廉政建设，树牢为人民服务的宗旨意识。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通过有计划分层次高质量开展党员教育培训，坚定信仰、增强党性、提高素质。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通过市直机关工委党建专栏《领航》平台，促进市直机关党的建设质量全面提升。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通过</w:t>
            </w:r>
            <w:r>
              <w:rPr>
                <w:rFonts w:hint="eastAsia" w:ascii="宋体" w:hAnsi="宋体" w:cs="宋体"/>
                <w:color w:val="000000"/>
                <w:kern w:val="0"/>
                <w:sz w:val="20"/>
                <w:szCs w:val="20"/>
                <w:lang w:eastAsia="zh-CN"/>
              </w:rPr>
              <w:t>庆祝中国共产党成立</w:t>
            </w:r>
            <w:r>
              <w:rPr>
                <w:rFonts w:hint="eastAsia" w:ascii="宋体" w:hAnsi="宋体" w:cs="宋体"/>
                <w:color w:val="000000"/>
                <w:kern w:val="0"/>
                <w:sz w:val="20"/>
                <w:szCs w:val="20"/>
              </w:rPr>
              <w:t>100周年活动，增强党组强的凝聚力和战斗力。</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已完成。</w:t>
            </w:r>
          </w:p>
        </w:tc>
      </w:tr>
      <w:tr>
        <w:tblPrEx>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绩效指标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一级指标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二级指标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三级指标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运算符号</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指标值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度量单位</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全年完成值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完成程度</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分值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得分</w:t>
            </w:r>
          </w:p>
        </w:tc>
        <w:tc>
          <w:tcPr>
            <w:tcW w:w="0" w:type="auto"/>
            <w:gridSpan w:val="5"/>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偏差原因分析</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改进措施</w:t>
            </w: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经费保障原因分析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制度保障原因分析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人员保障原因分析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硬件条件保障原因分析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其他原因分析</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履职效能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重点工作履行情况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重点工作办结率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整体工作完成情况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总体工作完成率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工作完成及时率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基础管理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依法行政能力</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预算执行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预算执行效率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预算绩效目标覆盖率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预算监督管理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预决算公开情况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全部公开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预算收支管理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预算支出管理规范性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预算收入管理规范性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内控制度有效性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制度有效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固定资产利用率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9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政府采购管理违法违规行为发生次数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运行成本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成本控制成效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在职人员控制率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44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社会效应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调查成果辅助决策采纳率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客户满意度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参训人员满意度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体制机制改革</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建立预算绩效管理机制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完善制度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rPr>
              <w:t>总评价得分</w:t>
            </w:r>
          </w:p>
        </w:tc>
        <w:tc>
          <w:tcPr>
            <w:tcW w:w="0" w:type="auto"/>
            <w:gridSpan w:val="8"/>
            <w:tcBorders>
              <w:top w:val="single" w:color="000000" w:sz="4" w:space="0"/>
              <w:left w:val="nil"/>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rPr>
              <w:t>100</w:t>
            </w:r>
          </w:p>
        </w:tc>
      </w:tr>
      <w:tr>
        <w:tblPrEx>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结果应用建议</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结果应用建议选项</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具体建议内容</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建议进一步规范预算管理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建议进一步提升预算执行效率和效益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结果应用建议_建议核减下一年度经费数额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建议消减低效、无效资金或结构调整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建议回收长期沉淀的资金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其他建议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通过此次绩效评价，发现现在评价指标系统特别昌指标设置与考核标准可根据工作实际情况进一步改进和完善。</w:t>
            </w:r>
          </w:p>
        </w:tc>
      </w:tr>
      <w:tr>
        <w:tblPrEx>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主管部门审核意见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削减低效、无效资金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对资金结构进行调整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收回长期沉淀的资金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主管部门总体意见</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财政部门审核意见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通过此次绩效评价，发现现在评价指标系统特别是指标设置与考核标准可根据工作实际情况进一步改进和完善。</w:t>
            </w: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削减低效、无效资金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对资金结构进行调整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收回长期沉淀的资金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6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rPr>
              <w:t>财政部门总体意见</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通过此次绩效评价，发现现在评价指标系统特别是指标设置与考核标准可根据工作实际情况进一步改进和完善。</w:t>
            </w:r>
          </w:p>
        </w:tc>
      </w:tr>
    </w:tbl>
    <w:p>
      <w:pPr>
        <w:jc w:val="left"/>
        <w:rPr>
          <w:rFonts w:ascii="仿宋" w:hAnsi="仿宋" w:eastAsia="仿宋"/>
          <w:b/>
          <w:sz w:val="36"/>
          <w:szCs w:val="36"/>
        </w:rPr>
      </w:pPr>
      <w:r>
        <w:rPr>
          <w:rFonts w:hint="eastAsia" w:ascii="仿宋_GB2312" w:hAnsi="宋体" w:eastAsia="仿宋_GB2312" w:cs="仿宋_GB2312"/>
          <w:b/>
          <w:bCs/>
          <w:sz w:val="32"/>
          <w:szCs w:val="32"/>
        </w:rPr>
        <w:br w:type="page"/>
      </w:r>
      <w:r>
        <w:rPr>
          <w:rFonts w:hint="eastAsia" w:ascii="仿宋_GB2312" w:hAnsi="宋体" w:eastAsia="仿宋_GB2312" w:cs="仿宋_GB2312"/>
          <w:sz w:val="32"/>
          <w:szCs w:val="32"/>
        </w:rPr>
        <w:br w:type="page"/>
      </w:r>
      <w:r>
        <w:rPr>
          <w:rFonts w:hint="eastAsia" w:ascii="仿宋" w:hAnsi="仿宋" w:eastAsia="仿宋"/>
          <w:b/>
          <w:sz w:val="36"/>
          <w:szCs w:val="36"/>
        </w:rPr>
        <w:t>第三部分 名词解释</w:t>
      </w:r>
    </w:p>
    <w:p>
      <w:pPr>
        <w:spacing w:line="540" w:lineRule="exact"/>
        <w:jc w:val="center"/>
        <w:rPr>
          <w:rFonts w:ascii="仿宋" w:hAnsi="仿宋" w:eastAsia="仿宋"/>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15.一般公共服务（201）党委办公厅（室）及相关机构事务（31）行政运行（01）：</w:t>
      </w:r>
      <w:r>
        <w:rPr>
          <w:rFonts w:hint="eastAsia" w:ascii="仿宋" w:hAnsi="仿宋" w:eastAsia="仿宋"/>
          <w:sz w:val="32"/>
          <w:szCs w:val="32"/>
        </w:rPr>
        <w:t>反映行政单位（包括实行公务员管理的事业单位）的基本支出。</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16.一般公共服务（201）党委办公厅（室）及相关机构事务（31）一般行政管理事务（02）：</w:t>
      </w:r>
      <w:r>
        <w:rPr>
          <w:rFonts w:hint="eastAsia" w:ascii="仿宋" w:hAnsi="仿宋" w:eastAsia="仿宋"/>
          <w:sz w:val="32"/>
          <w:szCs w:val="32"/>
        </w:rPr>
        <w:t>反映行政单位（包括实行公务员管理的事业单位）未单独设置项级科目的其他项目支出。</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17.社会保障和就业（208）行政事业单位离退休（05）行政单位离退休（01）：</w:t>
      </w:r>
      <w:r>
        <w:rPr>
          <w:rFonts w:hint="eastAsia" w:ascii="仿宋" w:hAnsi="仿宋" w:eastAsia="仿宋"/>
          <w:sz w:val="32"/>
          <w:szCs w:val="32"/>
        </w:rPr>
        <w:t>反映实行归口管理的行政单位（包括实行公务员管理的事业单位）开支的离退休经费。</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18.卫生健康支出（210）行政事业单位医疗（11）行政单位医疗（01）：</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19.住房保障（221）住房改革（02）住房公积金（01）：</w:t>
      </w:r>
      <w:r>
        <w:rPr>
          <w:rFonts w:hint="eastAsia" w:ascii="仿宋" w:hAnsi="仿宋" w:eastAsia="仿宋"/>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20.机关运行经费：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21.社会保障和就业支出（类）行政事业单位养老支出（款）机关事业单位基本养老保险缴费支出（项）：</w:t>
      </w:r>
      <w:r>
        <w:rPr>
          <w:rFonts w:hint="eastAsia" w:ascii="仿宋" w:hAnsi="仿宋" w:eastAsia="仿宋"/>
          <w:sz w:val="32"/>
          <w:szCs w:val="32"/>
        </w:rPr>
        <w:t>反映机关事业单位实施养老保险制度由单位缴纳的基本养老保险费支出。</w:t>
      </w:r>
    </w:p>
    <w:p>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22.卫生健康支出（类）行政事业单位医疗（款）其他行政事业单位医疗支出（项）：</w:t>
      </w:r>
      <w:r>
        <w:rPr>
          <w:rFonts w:hint="eastAsia" w:ascii="仿宋" w:hAnsi="仿宋" w:eastAsia="仿宋"/>
          <w:sz w:val="32"/>
          <w:szCs w:val="32"/>
        </w:rPr>
        <w:t>反映除上述项目以外的其他用于行政事业单位医疗方面的支出。</w:t>
      </w:r>
    </w:p>
    <w:p>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23.工资福利支出：</w:t>
      </w:r>
      <w:r>
        <w:rPr>
          <w:rFonts w:hint="eastAsia" w:ascii="仿宋" w:hAnsi="仿宋" w:eastAsia="仿宋"/>
          <w:sz w:val="32"/>
          <w:szCs w:val="32"/>
        </w:rPr>
        <w:t>反映单位开支的在职职工和编制外长期聘用人员的各类劳动报酬，以及为上述人员缴纳的各项社会保险费等。</w:t>
      </w:r>
    </w:p>
    <w:p>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24.商品和服务支出：</w:t>
      </w:r>
      <w:r>
        <w:rPr>
          <w:rFonts w:hint="eastAsia" w:ascii="仿宋" w:hAnsi="仿宋" w:eastAsia="仿宋"/>
          <w:sz w:val="32"/>
          <w:szCs w:val="32"/>
        </w:rPr>
        <w:t>反映单位购买商品和服务的支出，不包括用于购置固定资产、战略性和应急性物资储备等资本性支出。</w:t>
      </w:r>
    </w:p>
    <w:p>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25.对个人和家庭补助：</w:t>
      </w:r>
      <w:r>
        <w:rPr>
          <w:rFonts w:hint="eastAsia" w:ascii="仿宋" w:hAnsi="仿宋" w:eastAsia="仿宋"/>
          <w:sz w:val="32"/>
          <w:szCs w:val="32"/>
        </w:rPr>
        <w:t>反映政府用于对个人和家庭的补助支出。</w:t>
      </w:r>
    </w:p>
    <w:p>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26.资本性支出：</w:t>
      </w:r>
      <w:r>
        <w:rPr>
          <w:rFonts w:hint="eastAsia" w:ascii="仿宋" w:hAnsi="仿宋" w:eastAsia="仿宋"/>
          <w:sz w:val="32"/>
          <w:szCs w:val="32"/>
        </w:rPr>
        <w:t>反映各单位安排的资本性支出。切块由发展改革部门安排的基本建设支出不在此科目反映。</w:t>
      </w:r>
    </w:p>
    <w:p>
      <w:pPr>
        <w:spacing w:line="540" w:lineRule="exact"/>
        <w:ind w:firstLine="643" w:firstLineChars="200"/>
        <w:rPr>
          <w:rFonts w:ascii="仿宋" w:hAnsi="仿宋" w:eastAsia="仿宋"/>
          <w:sz w:val="32"/>
          <w:szCs w:val="32"/>
        </w:rPr>
      </w:pPr>
      <w:r>
        <w:rPr>
          <w:rFonts w:hint="eastAsia" w:ascii="仿宋" w:hAnsi="仿宋" w:eastAsia="仿宋"/>
          <w:b/>
          <w:bCs/>
          <w:sz w:val="32"/>
          <w:szCs w:val="32"/>
        </w:rPr>
        <w:t>27.其他支出（类）其他支出（款）其他支出（项）：</w:t>
      </w:r>
      <w:r>
        <w:rPr>
          <w:rFonts w:hint="eastAsia" w:ascii="仿宋" w:hAnsi="仿宋" w:eastAsia="仿宋"/>
          <w:sz w:val="32"/>
          <w:szCs w:val="32"/>
        </w:rPr>
        <w:t>反映除上述项目以外其他不能划分到具体功能科目的支出项目。</w:t>
      </w:r>
    </w:p>
    <w:p>
      <w:pPr>
        <w:spacing w:line="540" w:lineRule="exact"/>
        <w:ind w:firstLine="640" w:firstLineChars="200"/>
        <w:jc w:val="left"/>
        <w:rPr>
          <w:rFonts w:ascii="仿宋" w:hAnsi="仿宋" w:eastAsia="仿宋"/>
          <w:sz w:val="32"/>
          <w:szCs w:val="32"/>
        </w:rPr>
      </w:pPr>
    </w:p>
    <w:p>
      <w:pPr>
        <w:spacing w:line="540" w:lineRule="exact"/>
        <w:ind w:firstLine="640" w:firstLineChars="200"/>
        <w:jc w:val="left"/>
        <w:rPr>
          <w:rFonts w:ascii="仿宋" w:hAnsi="仿宋" w:eastAsia="仿宋"/>
          <w:sz w:val="32"/>
          <w:szCs w:val="32"/>
        </w:rPr>
      </w:pPr>
    </w:p>
    <w:p>
      <w:pPr>
        <w:spacing w:line="540" w:lineRule="exact"/>
        <w:ind w:firstLine="640" w:firstLineChars="200"/>
        <w:jc w:val="left"/>
        <w:rPr>
          <w:rFonts w:ascii="仿宋" w:hAnsi="仿宋" w:eastAsia="仿宋"/>
          <w:sz w:val="32"/>
          <w:szCs w:val="32"/>
        </w:rPr>
      </w:pPr>
    </w:p>
    <w:p>
      <w:pPr>
        <w:spacing w:line="540" w:lineRule="exact"/>
        <w:rPr>
          <w:rFonts w:ascii="仿宋" w:hAnsi="仿宋" w:eastAsia="仿宋"/>
          <w:b/>
          <w:sz w:val="36"/>
          <w:szCs w:val="36"/>
        </w:r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仿宋_GB2312" w:eastAsia="仿宋_GB2312"/>
          <w:sz w:val="52"/>
          <w:szCs w:val="52"/>
        </w:rPr>
      </w:pPr>
      <w:r>
        <w:rPr>
          <w:rFonts w:hint="eastAsia" w:ascii="宋体" w:hAnsi="宋体"/>
          <w:b/>
          <w:sz w:val="52"/>
          <w:szCs w:val="52"/>
        </w:rPr>
        <w:t>第四部分 2021年度部门决算表</w:t>
      </w:r>
    </w:p>
    <w:p>
      <w:pPr>
        <w:spacing w:line="540" w:lineRule="exact"/>
        <w:jc w:val="center"/>
        <w:rPr>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详见：《中共辽宁省盘锦市直属机关工作委员会2021年度部门决算公开表》</w:t>
      </w:r>
    </w:p>
    <w:p/>
    <w:sectPr>
      <w:footerReference r:id="rId3"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26</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chineseCounting"/>
      <w:suff w:val="nothing"/>
      <w:lvlText w:val="（%1）"/>
      <w:lvlJc w:val="left"/>
      <w:pPr>
        <w:ind w:left="410" w:firstLine="0"/>
      </w:pPr>
    </w:lvl>
  </w:abstractNum>
  <w:abstractNum w:abstractNumId="1">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UxZGUzOWViMmFhYTY3NDBmNzI5ODNlZDY0N2EzM2UifQ=="/>
  </w:docVars>
  <w:rsids>
    <w:rsidRoot w:val="00FF5E76"/>
    <w:rsid w:val="00035D14"/>
    <w:rsid w:val="001E04A4"/>
    <w:rsid w:val="004F3C27"/>
    <w:rsid w:val="006A49D0"/>
    <w:rsid w:val="006B335C"/>
    <w:rsid w:val="007B57C4"/>
    <w:rsid w:val="00B97572"/>
    <w:rsid w:val="00BA2308"/>
    <w:rsid w:val="00BB07AC"/>
    <w:rsid w:val="00BF7800"/>
    <w:rsid w:val="00DE0838"/>
    <w:rsid w:val="00FD3F92"/>
    <w:rsid w:val="00FF5E76"/>
    <w:rsid w:val="04222C7A"/>
    <w:rsid w:val="06BA79DC"/>
    <w:rsid w:val="0C3569DA"/>
    <w:rsid w:val="181455B9"/>
    <w:rsid w:val="1DE910AB"/>
    <w:rsid w:val="1E25654C"/>
    <w:rsid w:val="2A6B6A62"/>
    <w:rsid w:val="3292729F"/>
    <w:rsid w:val="3AED4DFB"/>
    <w:rsid w:val="49F145F5"/>
    <w:rsid w:val="528F20BD"/>
    <w:rsid w:val="56080FFE"/>
    <w:rsid w:val="58D27B89"/>
    <w:rsid w:val="77EA75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font3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26</Pages>
  <Words>10019</Words>
  <Characters>10975</Characters>
  <Lines>86</Lines>
  <Paragraphs>24</Paragraphs>
  <TotalTime>4</TotalTime>
  <ScaleCrop>false</ScaleCrop>
  <LinksUpToDate>false</LinksUpToDate>
  <CharactersWithSpaces>11001</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次次--</cp:lastModifiedBy>
  <dcterms:modified xsi:type="dcterms:W3CDTF">2024-04-29T01:44:46Z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18CD7DB5C5344795A2FB5D704D68E032</vt:lpwstr>
  </property>
</Properties>
</file>