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盘锦市住房公积金管理中心</w:t>
      </w:r>
    </w:p>
    <w:p>
      <w:pPr>
        <w:spacing w:line="540" w:lineRule="exact"/>
        <w:jc w:val="center"/>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2021年度部门决算公开说明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盘锦市住房公积金管理中心概况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盘锦市住房公积金管理中心2021年度部门决算情况说明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盘锦市住房公积金管理中心2021年度部门决算报表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一、2021年度</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二、2021年度收入决算表</w:t>
      </w:r>
    </w:p>
    <w:p>
      <w:pPr>
        <w:spacing w:line="540" w:lineRule="exact"/>
        <w:rPr>
          <w:rFonts w:ascii="仿宋_GB2312" w:eastAsia="仿宋_GB2312"/>
          <w:sz w:val="32"/>
          <w:szCs w:val="32"/>
        </w:rPr>
      </w:pPr>
      <w:r>
        <w:rPr>
          <w:rFonts w:hint="eastAsia" w:ascii="仿宋_GB2312" w:eastAsia="仿宋_GB2312"/>
          <w:sz w:val="32"/>
          <w:szCs w:val="32"/>
        </w:rPr>
        <w:t>三、2021年度支出决算表</w:t>
      </w:r>
    </w:p>
    <w:p>
      <w:pPr>
        <w:spacing w:line="540" w:lineRule="exact"/>
        <w:rPr>
          <w:rFonts w:ascii="仿宋_GB2312" w:hAnsi="黑体" w:eastAsia="仿宋_GB2312"/>
          <w:sz w:val="32"/>
          <w:szCs w:val="32"/>
        </w:rPr>
      </w:pPr>
      <w:r>
        <w:rPr>
          <w:rFonts w:hint="eastAsia" w:ascii="仿宋_GB2312" w:eastAsia="仿宋_GB2312"/>
          <w:sz w:val="32"/>
          <w:szCs w:val="32"/>
        </w:rPr>
        <w:t>四、2021年度</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五、2021年度一般公共预算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六、2021年度一般公共预算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七、2021年度</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八、2021年度一般公共预算财政拨款“三公”经费支出决算表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九、2021年度国有资本经营预算财政拨款支出决算表</w:t>
      </w: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根据国务院《住房公积金管理条例》的规定，市住房公积金管理中心的主要职责如下：</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1、编制、执行全市住房公积金的归集、使用计划；</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2、负责记载职工住房公积金的缴存、提取、使用等情况；</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3、负责住房公积金的核算；</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4、审批住房公积金的提取和使用；</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5、负责住房公积金的保值和归还；</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6、编制住房公积金归集、使用计划执行情况的报告；</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7、发放住房货币化补贴资金；</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8、承办市住房公积金管理委员会决定的其它事项。</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根据本单位主要职责，内设机构如下：办公室、稽查科、</w:t>
      </w:r>
    </w:p>
    <w:p>
      <w:pPr>
        <w:spacing w:line="540" w:lineRule="exact"/>
        <w:jc w:val="left"/>
        <w:rPr>
          <w:rFonts w:hint="eastAsia" w:ascii="仿宋_GB2312" w:eastAsia="仿宋_GB2312"/>
          <w:sz w:val="32"/>
          <w:szCs w:val="32"/>
        </w:rPr>
      </w:pPr>
      <w:r>
        <w:rPr>
          <w:rFonts w:hint="eastAsia" w:ascii="仿宋_GB2312" w:eastAsia="仿宋_GB2312"/>
          <w:sz w:val="32"/>
          <w:szCs w:val="32"/>
        </w:rPr>
        <w:t>盘山办事处、双台子办事处、兴隆台办事处、大洼办事处、辽东湾办事处。</w:t>
      </w:r>
    </w:p>
    <w:p>
      <w:p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t>本部门无下属二级单位</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纳入盘锦市住房公积金中心2021年度部门决算编制范围的预算单位包括：</w:t>
      </w:r>
      <w:r>
        <w:rPr>
          <w:rFonts w:hint="eastAsia" w:ascii="仿宋_GB2312" w:eastAsia="仿宋_GB2312"/>
          <w:sz w:val="32"/>
          <w:szCs w:val="32"/>
        </w:rPr>
        <w:t>盘锦市住房公积金管理中心</w:t>
      </w:r>
    </w:p>
    <w:p>
      <w:pPr>
        <w:numPr>
          <w:ilvl w:val="0"/>
          <w:numId w:val="2"/>
        </w:numPr>
        <w:spacing w:line="540" w:lineRule="exact"/>
        <w:ind w:left="319" w:leftChars="152" w:firstLine="320" w:firstLineChars="100"/>
        <w:jc w:val="center"/>
        <w:rPr>
          <w:rFonts w:ascii="仿宋" w:hAnsi="仿宋" w:eastAsia="仿宋"/>
          <w:b/>
          <w:sz w:val="36"/>
          <w:szCs w:val="36"/>
        </w:rPr>
      </w:pPr>
      <w:r>
        <w:rPr>
          <w:rFonts w:ascii="仿宋_GB2312" w:eastAsia="仿宋_GB2312"/>
          <w:sz w:val="32"/>
          <w:szCs w:val="32"/>
        </w:rPr>
        <w:br w:type="page"/>
      </w:r>
      <w:r>
        <w:rPr>
          <w:rFonts w:hint="eastAsia" w:ascii="宋体" w:hAnsi="宋体"/>
          <w:b/>
          <w:sz w:val="36"/>
          <w:szCs w:val="36"/>
        </w:rPr>
        <w:t>盘锦市住房公积金管理中心</w:t>
      </w:r>
    </w:p>
    <w:p>
      <w:pPr>
        <w:spacing w:line="540" w:lineRule="exact"/>
        <w:ind w:left="529" w:leftChars="252" w:firstLine="2168" w:firstLineChars="600"/>
        <w:rPr>
          <w:rFonts w:ascii="宋体" w:hAnsi="宋体"/>
          <w:b/>
          <w:sz w:val="36"/>
          <w:szCs w:val="36"/>
        </w:rPr>
      </w:pPr>
      <w:r>
        <w:rPr>
          <w:rFonts w:hint="eastAsia" w:ascii="宋体" w:hAnsi="宋体"/>
          <w:b/>
          <w:sz w:val="36"/>
          <w:szCs w:val="36"/>
        </w:rPr>
        <w:t>2021年度部门决算情况说明</w:t>
      </w:r>
    </w:p>
    <w:p>
      <w:pPr>
        <w:spacing w:line="540" w:lineRule="exact"/>
        <w:rPr>
          <w:rFonts w:ascii="宋体" w:hAnsi="宋体"/>
          <w:b/>
          <w:sz w:val="36"/>
          <w:szCs w:val="36"/>
        </w:rPr>
      </w:pPr>
    </w:p>
    <w:p>
      <w:pPr>
        <w:pStyle w:val="9"/>
        <w:numPr>
          <w:ilvl w:val="0"/>
          <w:numId w:val="3"/>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（一）收入总计3441.54万元，包括：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1.财政拨款收入2843.82万元，占</w:t>
      </w:r>
      <w:r>
        <w:rPr>
          <w:rFonts w:ascii="仿宋_GB2312" w:hAnsi="宋体" w:eastAsia="仿宋_GB2312"/>
          <w:sz w:val="32"/>
          <w:szCs w:val="32"/>
        </w:rPr>
        <w:t>收入总计的</w:t>
      </w:r>
      <w:r>
        <w:rPr>
          <w:rFonts w:hint="eastAsia" w:ascii="仿宋_GB2312" w:hAnsi="宋体" w:eastAsia="仿宋_GB2312"/>
          <w:sz w:val="32"/>
          <w:szCs w:val="32"/>
        </w:rPr>
        <w:t>82.63</w:t>
      </w:r>
      <w:r>
        <w:rPr>
          <w:rFonts w:ascii="仿宋_GB2312" w:hAnsi="宋体" w:eastAsia="仿宋_GB2312"/>
          <w:sz w:val="32"/>
          <w:szCs w:val="32"/>
        </w:rPr>
        <w:t>%</w:t>
      </w:r>
      <w:r>
        <w:rPr>
          <w:rFonts w:hint="eastAsia" w:ascii="仿宋_GB2312" w:hAnsi="宋体" w:eastAsia="仿宋_GB2312"/>
          <w:sz w:val="32"/>
          <w:szCs w:val="32"/>
        </w:rPr>
        <w:t>。其中：一般公共预算财政拨款收入2843.82万元，政府性基金收入0万元，国有资本经营预算财政拨款收入0万元。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6.其他收入0.01万元，占收入总计的0.0003%。主要是存款利息收入。</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8.上年结转和结余597.7万元，占收入总计的17.37%。主要是住房货币化补贴结转结余和政府采购未支付等。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与上年相比，今年收入减少236.29万元，降低6.42%，主要原因：财政拨款收入减少，财政一体化以支定收。</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（二）支出总计3441.53万元，包括：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3097.77万元，占支出总计的90.01%。主要是为保障机构正常运转、完成日常工作任务而发生的各项支出，其中：工资福利支出2870.89万元，对个人和家庭的补助支出156.16万元，商品和服务支出67.38万元，资本性支出3.34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2.项目支出343.76万元，占支出总计的9.99%。主要包括管理费等业务支出。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与上年相比，今年支出增加1427.27万元，增长70.86%，主要原因：住房货币化补贴支出增加。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（三）年末结转和结余0.01万元。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主要是存款利息原因形成的结余。与上年相比，今年结转结余减少1663.56万元，降低100%，主要原因：财政一体化以支定收无结转。</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2021年度财政拨款支出3441.52万元，其中：基本支出3097.77万元，项目支出343.75万元。与</w:t>
      </w:r>
      <w:r>
        <w:rPr>
          <w:rFonts w:ascii="仿宋_GB2312" w:hAnsi="宋体" w:eastAsia="仿宋_GB2312"/>
          <w:sz w:val="32"/>
          <w:szCs w:val="32"/>
        </w:rPr>
        <w:t>上年相比，</w:t>
      </w:r>
      <w:r>
        <w:rPr>
          <w:rFonts w:hint="eastAsia" w:ascii="仿宋_GB2312" w:hAnsi="宋体" w:eastAsia="仿宋_GB2312"/>
          <w:sz w:val="32"/>
          <w:szCs w:val="32"/>
        </w:rPr>
        <w:t>财政拨款支出增加1427.26万元，增长70.86%，主要原因：住房货币化补贴支出增加。与年初预算相比，2021年度财政拨款支出完成年初预算的102.58%，其中：基本支出完成年初预算的110.40%，项目完成年初预算的62.61%。</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宋体" w:eastAsia="仿宋_GB2312"/>
          <w:b/>
          <w:color w:val="FF0000"/>
          <w:sz w:val="32"/>
          <w:szCs w:val="32"/>
        </w:rPr>
      </w:pPr>
      <w:r>
        <w:rPr>
          <w:rFonts w:hint="eastAsia" w:ascii="仿宋_GB2312" w:hAnsi="宋体" w:eastAsia="仿宋_GB2312"/>
          <w:sz w:val="32"/>
          <w:szCs w:val="32"/>
        </w:rPr>
        <w:t>2021年度一般公共预算财政拨款支出</w:t>
      </w:r>
      <w:r>
        <w:rPr>
          <w:rFonts w:hint="eastAsia" w:ascii="仿宋" w:hAnsi="仿宋" w:eastAsia="仿宋"/>
          <w:sz w:val="32"/>
          <w:szCs w:val="32"/>
        </w:rPr>
        <w:t>3441.52元</w:t>
      </w:r>
      <w:r>
        <w:rPr>
          <w:rFonts w:hint="eastAsia" w:ascii="仿宋_GB2312" w:hAnsi="宋体" w:eastAsia="仿宋_GB2312"/>
          <w:sz w:val="32"/>
          <w:szCs w:val="32"/>
        </w:rPr>
        <w:t>，按支出功能分类科目分，包括：</w:t>
      </w:r>
      <w:r>
        <w:rPr>
          <w:rFonts w:hint="eastAsia" w:ascii="仿宋" w:hAnsi="仿宋" w:eastAsia="仿宋"/>
          <w:sz w:val="32"/>
          <w:szCs w:val="32"/>
        </w:rPr>
        <w:t>一般公共服务支出616.48万元，占17.91</w:t>
      </w:r>
      <w:r>
        <w:rPr>
          <w:rFonts w:ascii="仿宋" w:hAnsi="仿宋" w:eastAsia="仿宋"/>
          <w:sz w:val="32"/>
          <w:szCs w:val="32"/>
        </w:rPr>
        <w:t>%</w:t>
      </w:r>
      <w:r>
        <w:rPr>
          <w:rFonts w:hint="eastAsia" w:ascii="仿宋" w:hAnsi="仿宋" w:eastAsia="仿宋"/>
          <w:sz w:val="32"/>
          <w:szCs w:val="32"/>
        </w:rPr>
        <w:t>；社会保障和就业支出61.3万元，占1.78%；卫生健康支出21.9万元，占0.64%；住房保障支出2733.54万元，占79.43%，其他支出8.3万元，占0.24%。</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1.一般公共服务支出616.48万元，具体包括：</w:t>
      </w:r>
    </w:p>
    <w:p>
      <w:pPr>
        <w:spacing w:line="540" w:lineRule="exact"/>
        <w:ind w:firstLine="660"/>
        <w:rPr>
          <w:rFonts w:hint="eastAsia" w:ascii="仿宋_GB2312" w:hAnsi="宋体" w:eastAsia="仿宋_GB2312"/>
          <w:sz w:val="32"/>
          <w:szCs w:val="32"/>
        </w:rPr>
      </w:pPr>
      <w:bookmarkStart w:id="0" w:name="_Hlk83064542"/>
      <w:r>
        <w:rPr>
          <w:rFonts w:hint="eastAsia" w:ascii="仿宋_GB2312" w:hAnsi="宋体" w:eastAsia="仿宋_GB2312"/>
          <w:sz w:val="32"/>
          <w:szCs w:val="32"/>
        </w:rPr>
        <w:t>一般公共服务支出（类）政府办公厅（室）及相关机构事务（款）事业运行（项）</w:t>
      </w:r>
      <w:bookmarkEnd w:id="0"/>
      <w:r>
        <w:rPr>
          <w:rFonts w:hint="eastAsia" w:ascii="仿宋_GB2312" w:hAnsi="宋体" w:eastAsia="仿宋_GB2312"/>
          <w:sz w:val="32"/>
          <w:szCs w:val="32"/>
        </w:rPr>
        <w:t>616.48万元，主要是人员、公用经费等支出，完成年初预算的146.34%，决算数大于年初预算数的原因主要是绩效工资</w:t>
      </w:r>
      <w:r>
        <w:rPr>
          <w:rFonts w:hint="eastAsia" w:ascii="仿宋_GB2312" w:hAnsi="宋体" w:eastAsia="仿宋_GB2312"/>
          <w:sz w:val="32"/>
          <w:szCs w:val="32"/>
          <w:lang w:eastAsia="zh-CN"/>
        </w:rPr>
        <w:t>未纳入</w:t>
      </w:r>
      <w:r>
        <w:rPr>
          <w:rFonts w:hint="eastAsia" w:ascii="仿宋_GB2312" w:hAnsi="宋体" w:eastAsia="仿宋_GB2312"/>
          <w:sz w:val="32"/>
          <w:szCs w:val="32"/>
        </w:rPr>
        <w:t>年初预算。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 xml:space="preserve"> 2.</w:t>
      </w:r>
      <w:bookmarkStart w:id="1" w:name="_Hlk83064565"/>
      <w:r>
        <w:rPr>
          <w:rFonts w:hint="eastAsia" w:ascii="仿宋_GB2312" w:hAnsi="宋体" w:eastAsia="仿宋_GB2312"/>
          <w:sz w:val="32"/>
          <w:szCs w:val="32"/>
        </w:rPr>
        <w:t>社会保障和就业支出</w:t>
      </w:r>
      <w:bookmarkEnd w:id="1"/>
      <w:r>
        <w:rPr>
          <w:rFonts w:hint="eastAsia" w:ascii="仿宋_GB2312" w:hAnsi="宋体" w:eastAsia="仿宋_GB2312"/>
          <w:sz w:val="32"/>
          <w:szCs w:val="32"/>
        </w:rPr>
        <w:t>61.3万元，具体包括：</w:t>
      </w:r>
    </w:p>
    <w:p>
      <w:pPr>
        <w:spacing w:line="540" w:lineRule="exact"/>
        <w:ind w:firstLine="660"/>
        <w:rPr>
          <w:rFonts w:ascii="仿宋_GB2312" w:hAnsi="宋体" w:eastAsia="仿宋_GB2312"/>
          <w:color w:val="0000FF"/>
          <w:sz w:val="32"/>
          <w:szCs w:val="32"/>
        </w:rPr>
      </w:pPr>
      <w:r>
        <w:rPr>
          <w:rFonts w:hint="eastAsia" w:ascii="仿宋_GB2312" w:hAnsi="宋体" w:eastAsia="仿宋_GB2312"/>
          <w:sz w:val="32"/>
          <w:szCs w:val="32"/>
        </w:rPr>
        <w:t>（1）社会保障和就业支出（类）行政事业单位养老支出（款）事业单位离退休（项）2.08万元，主要是退休人员取暖费等支出，完成年初预算的100%。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w:t>
      </w:r>
      <w:bookmarkStart w:id="2" w:name="_Hlk83064745"/>
      <w:r>
        <w:rPr>
          <w:rFonts w:hint="eastAsia" w:ascii="仿宋_GB2312" w:hAnsi="宋体" w:eastAsia="仿宋_GB2312"/>
          <w:sz w:val="32"/>
          <w:szCs w:val="32"/>
        </w:rPr>
        <w:t>社会保障和就业支出（类）行政事业单位养老支出（款）机关事业单位基本养老保险缴费支出（项）48.97万元，主要是职工养老保险缴费等支出，完成年初预算的93.96%，决算数小于年初预算数的原因主要是养老保险缴费结余。</w:t>
      </w:r>
    </w:p>
    <w:bookmarkEnd w:id="2"/>
    <w:p>
      <w:pPr>
        <w:spacing w:line="540" w:lineRule="exact"/>
        <w:ind w:firstLine="660"/>
        <w:rPr>
          <w:rFonts w:ascii="仿宋_GB2312" w:hAnsi="宋体" w:eastAsia="仿宋_GB2312"/>
          <w:color w:val="0000FF"/>
          <w:sz w:val="32"/>
          <w:szCs w:val="32"/>
        </w:rPr>
      </w:pPr>
      <w:r>
        <w:rPr>
          <w:rFonts w:hint="eastAsia" w:ascii="仿宋_GB2312" w:hAnsi="宋体" w:eastAsia="仿宋_GB2312"/>
          <w:sz w:val="32"/>
          <w:szCs w:val="32"/>
        </w:rPr>
        <w:t>（3）社会保障和就业支出（类）行政事业单位养老支出（款）机关事业单位职业年金缴费支出（项）6.47万元，主要是职工职业年金缴费等支出，年初未做预算，本年追加支出。</w:t>
      </w:r>
      <w:r>
        <w:rPr>
          <w:rFonts w:hint="eastAsia" w:ascii="仿宋_GB2312" w:hAnsi="宋体" w:eastAsia="仿宋_GB2312"/>
          <w:color w:val="0000FF"/>
          <w:sz w:val="32"/>
          <w:szCs w:val="32"/>
        </w:rPr>
        <w:t xml:space="preserve"> </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（4）社会保障和就业支出（类）抚恤（款）伤残抚恤（项）3.78万元，主要是退休人员伤残抚恤金等支出，由财政业务科室代编预算，完成年初预算的100%。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3.卫生健康支出21.9万元，包括：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（1）卫生健康支出（类）行政事业单位医疗（款）事业单位医疗（项）21.65万元，主要是职工医疗保险缴费等支出，完成年初预算的94.91%，决算数小于年初预算数的原因主要是医疗保险缴费结余。</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（2）卫生健康支出（类）行政事业单位医疗（款）其他行政事业单位医疗支出（项）0.25万元，主要是职工大额医疗保险支出，完成年初预算的96.15%，决算数小于年初预算数的原因主要是人员退休。</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4.住房保障支出2733.54万元，具体包括：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（1）住房保障支出（类）住房改革支出（款）住房公积金（项）35.22万元，主要是职工住房公积金缴费等支出，完成年初预算的94.78%，决算数小于年初预算数的原因主要是人员退休和调动。</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（2）住房保障支出（类）住房改革支出（款）购房补贴（项）2100万元，主要是住房货币化补贴等支出，由财政业务科室代编预算，完成年初预算的105%，</w:t>
      </w:r>
      <w:bookmarkStart w:id="3" w:name="_Hlk113567917"/>
      <w:r>
        <w:rPr>
          <w:rFonts w:hint="eastAsia" w:ascii="仿宋_GB2312" w:hAnsi="宋体" w:eastAsia="仿宋_GB2312"/>
          <w:sz w:val="32"/>
          <w:szCs w:val="32"/>
        </w:rPr>
        <w:t>决算数大于年初预算数的原因主要是上年结转结余。</w:t>
      </w:r>
      <w:bookmarkEnd w:id="3"/>
    </w:p>
    <w:p>
      <w:pPr>
        <w:spacing w:line="540" w:lineRule="exact"/>
        <w:ind w:firstLine="660"/>
        <w:rPr>
          <w:rFonts w:ascii="仿宋_GB2312" w:hAnsi="宋体" w:eastAsia="仿宋_GB2312"/>
          <w:color w:val="0000FF"/>
          <w:sz w:val="32"/>
          <w:szCs w:val="32"/>
          <w:highlight w:val="none"/>
        </w:rPr>
      </w:pPr>
      <w:r>
        <w:rPr>
          <w:rFonts w:hint="eastAsia" w:ascii="仿宋_GB2312" w:hAnsi="宋体" w:eastAsia="仿宋_GB2312"/>
          <w:sz w:val="32"/>
          <w:szCs w:val="32"/>
        </w:rPr>
        <w:t>（3）住房保障支出（类）城乡社区住宅（款）住房公积金管理（项）598.32万元，主要是管理费等支出，完成年初预算的73.03%，决算数小于年初预算数的原因主要是采购项目有未付款项。</w:t>
      </w:r>
      <w:bookmarkStart w:id="9" w:name="_GoBack"/>
    </w:p>
    <w:p>
      <w:pPr>
        <w:spacing w:line="540" w:lineRule="exact"/>
        <w:rPr>
          <w:rFonts w:hint="eastAsia" w:ascii="仿宋_GB2312" w:hAnsi="宋体" w:eastAsia="仿宋_GB2312"/>
          <w:sz w:val="32"/>
          <w:szCs w:val="32"/>
          <w:highlight w:val="none"/>
          <w:lang w:eastAsia="zh-CN"/>
        </w:rPr>
      </w:pPr>
      <w:r>
        <w:rPr>
          <w:rFonts w:hint="eastAsia" w:ascii="仿宋" w:hAnsi="仿宋" w:eastAsia="仿宋"/>
          <w:color w:val="0000FF"/>
          <w:sz w:val="32"/>
          <w:szCs w:val="32"/>
          <w:highlight w:val="none"/>
        </w:rPr>
        <w:t xml:space="preserve">     </w:t>
      </w:r>
      <w:r>
        <w:rPr>
          <w:rFonts w:hint="eastAsia" w:ascii="仿宋_GB2312" w:hAnsi="宋体" w:eastAsia="仿宋_GB2312"/>
          <w:sz w:val="32"/>
          <w:szCs w:val="32"/>
          <w:highlight w:val="none"/>
        </w:rPr>
        <w:t>5.其他支出8.3万元</w:t>
      </w:r>
      <w:r>
        <w:rPr>
          <w:rFonts w:hint="eastAsia" w:ascii="仿宋_GB2312" w:hAnsi="宋体" w:eastAsia="仿宋_GB2312"/>
          <w:sz w:val="32"/>
          <w:szCs w:val="32"/>
          <w:highlight w:val="none"/>
          <w:lang w:eastAsia="zh-CN"/>
        </w:rPr>
        <w:t>（涉密）</w:t>
      </w:r>
    </w:p>
    <w:bookmarkEnd w:id="9"/>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2021年度政府性基金预算财政拨款支出0万元，盘锦市住房公积金管理中心2021年度无政府性基金预算财政拨款支出，无此类资金收支余。</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2021年度国有资本经营预算财政拨款支出0万元，盘锦市住房公积金管理中心2021年度无国有资本经营预算财政拨款支出，无此类资金收支余。</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hint="default" w:ascii="仿宋_GB2312" w:hAnsi="宋体" w:eastAsia="仿宋_GB2312"/>
          <w:sz w:val="32"/>
          <w:szCs w:val="32"/>
          <w:lang w:val="en-US" w:eastAsia="zh-CN"/>
        </w:rPr>
      </w:pPr>
      <w:r>
        <w:rPr>
          <w:rFonts w:hint="eastAsia" w:ascii="仿宋_GB2312" w:hAnsi="宋体" w:eastAsia="仿宋_GB2312"/>
          <w:sz w:val="32"/>
          <w:szCs w:val="32"/>
        </w:rPr>
        <w:t>2021年度一般公共预算财政拨款安排的“三公”经费支出2.25万元，完成年初预算的39.47%，决算数小于年初预算数的主要原因是压缩开支。其中：因公出国（境）费0万元，公务接待费0.35万元，公务用车购置及运行维护费1.9万元。</w:t>
      </w:r>
      <w:r>
        <w:rPr>
          <w:rFonts w:hint="eastAsia" w:ascii="仿宋_GB2312" w:hAnsi="宋体" w:eastAsia="仿宋_GB2312"/>
          <w:sz w:val="32"/>
          <w:szCs w:val="32"/>
          <w:lang w:eastAsia="zh-CN"/>
        </w:rPr>
        <w:t>较上年相比增加</w:t>
      </w:r>
      <w:r>
        <w:rPr>
          <w:rFonts w:hint="eastAsia" w:ascii="仿宋_GB2312" w:hAnsi="宋体" w:eastAsia="仿宋_GB2312"/>
          <w:sz w:val="32"/>
          <w:szCs w:val="32"/>
          <w:lang w:val="en-US" w:eastAsia="zh-CN"/>
        </w:rPr>
        <w:t>0.91万元，增长67.9%，主要是本年有公务接待事项、车辆维修支出增加。</w:t>
      </w:r>
    </w:p>
    <w:p>
      <w:pPr>
        <w:numPr>
          <w:ilvl w:val="0"/>
          <w:numId w:val="4"/>
        </w:numPr>
        <w:spacing w:line="540" w:lineRule="exact"/>
        <w:ind w:firstLine="645"/>
        <w:rPr>
          <w:rFonts w:ascii="仿宋_GB2312" w:hAnsi="宋体" w:eastAsia="仿宋_GB2312"/>
          <w:sz w:val="32"/>
          <w:szCs w:val="32"/>
        </w:rPr>
      </w:pPr>
      <w:r>
        <w:rPr>
          <w:rFonts w:hint="eastAsia" w:ascii="仿宋_GB2312" w:hAnsi="宋体" w:eastAsia="仿宋_GB2312"/>
          <w:sz w:val="32"/>
          <w:szCs w:val="32"/>
        </w:rPr>
        <w:t>因公出国（境）费0万元，占“三公”经费支出的0%。完成年初预算的0%，决算数与年初预算数相等，均为0万元，主要原因是年初未做预算，本年未发生因公出国事项。2021年参加出国（境）团组0个，累计0人次,未参加任何团组。2021年因公出国（境）费比上年增加0万元，增长0%，无任何变动，主要原因是2021年和2020年本单位均未发生因公出国事项，无因公出国（境）支出。</w:t>
      </w:r>
    </w:p>
    <w:p>
      <w:pPr>
        <w:spacing w:line="540" w:lineRule="exact"/>
        <w:ind w:firstLine="645"/>
        <w:rPr>
          <w:rFonts w:ascii="仿宋_GB2312" w:hAnsi="宋体" w:eastAsia="仿宋_GB2312"/>
          <w:sz w:val="32"/>
          <w:szCs w:val="32"/>
        </w:rPr>
      </w:pPr>
      <w:r>
        <w:rPr>
          <w:rFonts w:hint="eastAsia" w:ascii="仿宋" w:hAnsi="仿宋" w:eastAsia="仿宋"/>
          <w:sz w:val="32"/>
          <w:szCs w:val="32"/>
        </w:rPr>
        <w:t>2.</w:t>
      </w:r>
      <w:r>
        <w:rPr>
          <w:rFonts w:hint="eastAsia" w:ascii="仿宋_GB2312" w:hAnsi="宋体" w:eastAsia="仿宋_GB2312"/>
          <w:sz w:val="32"/>
          <w:szCs w:val="32"/>
        </w:rPr>
        <w:t>公务接待费0.35万元，占“三公”经费支出的15.56%。完成年初预算的50%，决算数小于年初预算数的主要原因是公务接待事项减少。2021年国内公务接待累计3批次、23人、0.35万元，主要用于公务接待事项等；其中外事接待累计0批次、0人、0万元，无外事接待支出事项和用途。2021年公务接待费比上年增加0.35万元，增长100%，主要是上年无公务接待费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 公务用车购置及运行费1.9万元，占“三公”经费支出的84.44%。完成年初预算的38%，决算数小于年初预算数的主要原因是压缩开支。比上年增加0.56万元，增长41.79%，主要原因是车辆维护费增加。</w:t>
      </w:r>
    </w:p>
    <w:p>
      <w:pPr>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其中：公务用车购置费0万元，本年无公务用车购置支出,当年购置公务用车0辆。公务用车运行维护费1.9万元，主要用于公务用车运行维护等，截至年末使用一般公共预算财政拨款开支运行维护费的公务用车保有量1辆。</w:t>
      </w:r>
    </w:p>
    <w:p>
      <w:pPr>
        <w:numPr>
          <w:ilvl w:val="0"/>
          <w:numId w:val="1"/>
        </w:numPr>
        <w:spacing w:line="540" w:lineRule="exact"/>
        <w:rPr>
          <w:rFonts w:ascii="黑体" w:hAnsi="黑体" w:eastAsia="黑体"/>
          <w:sz w:val="32"/>
          <w:szCs w:val="32"/>
        </w:rPr>
      </w:pPr>
      <w:r>
        <w:rPr>
          <w:rFonts w:hint="eastAsia" w:ascii="黑体" w:hAnsi="黑体" w:eastAsia="黑体"/>
          <w:sz w:val="32"/>
          <w:szCs w:val="32"/>
        </w:rPr>
        <w:t>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3097.77万元，其中：人员经费3027.05万元，主要包括基本工资、津贴补贴、奖金、其他社会保障缴费、机关事业单位基本养老保险缴费、其他工资福利支出、离休费、退休费、抚恤金、生活补助、奖励金、住房公积金、采暖补贴、其他对个人和家庭补助的支出；日常公用经费70.72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color w:val="FF0000"/>
          <w:sz w:val="32"/>
          <w:szCs w:val="32"/>
        </w:rPr>
      </w:pPr>
      <w:r>
        <w:rPr>
          <w:rFonts w:hint="eastAsia" w:ascii="仿宋_GB2312" w:hAnsi="黑体" w:eastAsia="仿宋_GB2312"/>
          <w:sz w:val="32"/>
          <w:szCs w:val="32"/>
        </w:rPr>
        <w:t>2021年机关运行经费支出0万元，比上年减少75.12万元，降低100%，主要原因是单位基本性质变化，盘锦市住房公积金管理中心为事业单位，根据机关运行经费的定义，本部门2021年度无机关运行经费支出。</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2021年政府采购支出总额23.7万元，其中：政府采购货物支出23.7万元，政府采购工程支出0万元，政府采购服务支出0万元。</w:t>
      </w:r>
      <w:r>
        <w:rPr>
          <w:rFonts w:hint="eastAsia" w:ascii="仿宋_GB2312" w:eastAsia="仿宋_GB2312"/>
          <w:sz w:val="32"/>
          <w:szCs w:val="32"/>
        </w:rPr>
        <w:t>授予中小企业合同金额23.7万元，占政府采购支出总额的100%，其中：授予小微企业合同金额0万元，占政府采购支出总额的0%；货物采购授予中小企业合同金额占货物支出金额的100%；工程采购授予中小企业合同金额占货物支出金额的0%；服务采购授予中小企业合同金额占货物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截至2021年12月31日，</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2.车辆情况：共有车辆1辆，其中：副省级以上领导干部用车0辆，主要领导干部用车0辆，机要通讯用车1辆，应急保障用车0辆，执法执勤用车0辆，特种专业技术用车0辆，离退休干部用车0辆，其他用车0辆。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widowControl/>
        <w:spacing w:line="520" w:lineRule="exact"/>
        <w:ind w:firstLine="643" w:firstLineChars="200"/>
        <w:jc w:val="left"/>
        <w:rPr>
          <w:rFonts w:hAnsi="宋体" w:eastAsia="仿宋_GB2312" w:cs="仿宋_GB2312"/>
          <w:sz w:val="32"/>
          <w:szCs w:val="32"/>
          <w:lang w:bidi="ar"/>
        </w:rPr>
      </w:pPr>
      <w:r>
        <w:rPr>
          <w:rFonts w:hint="eastAsia" w:hAnsi="宋体" w:eastAsia="仿宋_GB2312" w:cs="仿宋_GB2312"/>
          <w:b/>
          <w:bCs/>
          <w:sz w:val="32"/>
          <w:szCs w:val="32"/>
          <w:lang w:bidi="ar"/>
        </w:rPr>
        <w:t>（1）绩效自评情况。</w:t>
      </w: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管理要求，我</w:t>
      </w:r>
      <w:r>
        <w:rPr>
          <w:rFonts w:hint="eastAsia" w:ascii="仿宋_GB2312" w:hAnsi="宋体" w:eastAsia="仿宋_GB2312" w:cs="仿宋_GB2312"/>
          <w:sz w:val="32"/>
          <w:szCs w:val="32"/>
          <w:lang w:bidi="ar"/>
        </w:rPr>
        <w:t>部门</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2021</w:t>
      </w:r>
      <w:r>
        <w:rPr>
          <w:rFonts w:hint="eastAsia" w:ascii="仿宋_GB2312" w:hAnsi="宋体" w:eastAsia="仿宋_GB2312" w:cs="仿宋_GB2312"/>
          <w:sz w:val="32"/>
          <w:szCs w:val="32"/>
          <w:lang w:bidi="ar"/>
        </w:rPr>
        <w:t>年度预算</w:t>
      </w:r>
      <w:r>
        <w:rPr>
          <w:rFonts w:hint="eastAsia" w:hAnsi="宋体" w:eastAsia="仿宋_GB2312" w:cs="仿宋_GB2312"/>
          <w:sz w:val="32"/>
          <w:szCs w:val="32"/>
          <w:lang w:bidi="ar"/>
        </w:rPr>
        <w:t>开展整体绩效自评，涉及资金</w:t>
      </w:r>
      <w:r>
        <w:rPr>
          <w:rFonts w:hint="eastAsia" w:ascii="仿宋_GB2312" w:hAnsi="宋体" w:eastAsia="仿宋_GB2312" w:cs="仿宋_GB2312"/>
          <w:sz w:val="32"/>
          <w:szCs w:val="32"/>
          <w:lang w:bidi="ar"/>
        </w:rPr>
        <w:t>1354.99</w:t>
      </w:r>
      <w:r>
        <w:rPr>
          <w:rFonts w:hint="eastAsia" w:hAnsi="宋体" w:eastAsia="仿宋_GB2312" w:cs="仿宋_GB2312"/>
          <w:sz w:val="32"/>
          <w:szCs w:val="32"/>
          <w:lang w:bidi="ar"/>
        </w:rPr>
        <w:t>万元，自评得分</w:t>
      </w:r>
      <w:r>
        <w:rPr>
          <w:rFonts w:hint="eastAsia" w:ascii="仿宋_GB2312" w:hAnsi="宋体" w:eastAsia="仿宋_GB2312" w:cs="仿宋_GB2312"/>
          <w:sz w:val="32"/>
          <w:szCs w:val="32"/>
          <w:lang w:bidi="ar"/>
        </w:rPr>
        <w:t>92.8</w:t>
      </w:r>
      <w:r>
        <w:rPr>
          <w:rFonts w:hint="eastAsia" w:hAnsi="宋体" w:eastAsia="仿宋_GB2312" w:cs="仿宋_GB2312"/>
          <w:sz w:val="32"/>
          <w:szCs w:val="32"/>
          <w:lang w:bidi="ar"/>
        </w:rPr>
        <w:t>分。</w:t>
      </w:r>
    </w:p>
    <w:p>
      <w:pPr>
        <w:widowControl/>
        <w:spacing w:line="540" w:lineRule="exact"/>
        <w:ind w:firstLine="643" w:firstLineChars="200"/>
        <w:jc w:val="left"/>
        <w:rPr>
          <w:rFonts w:hint="eastAsia" w:ascii="仿宋_GB2312" w:hAnsi="黑体" w:eastAsia="仿宋_GB2312"/>
          <w:sz w:val="32"/>
          <w:szCs w:val="32"/>
        </w:rPr>
      </w:pPr>
      <w:r>
        <w:rPr>
          <w:rFonts w:hint="eastAsia" w:hAnsi="宋体" w:eastAsia="仿宋_GB2312" w:cs="仿宋_GB2312"/>
          <w:b/>
          <w:bCs/>
          <w:sz w:val="32"/>
          <w:szCs w:val="32"/>
          <w:lang w:bidi="ar"/>
        </w:rPr>
        <w:t xml:space="preserve">（2）重点项目评价情况。 </w:t>
      </w:r>
      <w:r>
        <w:rPr>
          <w:rFonts w:hint="eastAsia" w:hAnsi="宋体" w:eastAsia="仿宋_GB2312" w:cs="仿宋_GB2312"/>
          <w:sz w:val="32"/>
          <w:szCs w:val="32"/>
          <w:lang w:bidi="ar"/>
        </w:rPr>
        <w:t>本部门</w:t>
      </w:r>
      <w:r>
        <w:rPr>
          <w:rFonts w:hint="eastAsia" w:ascii="仿宋_GB2312" w:hAnsi="黑体" w:eastAsia="仿宋_GB2312"/>
          <w:sz w:val="32"/>
          <w:szCs w:val="32"/>
        </w:rPr>
        <w:t>2021年度无重点项目绩效评价。</w:t>
      </w:r>
    </w:p>
    <w:p>
      <w:pPr>
        <w:spacing w:line="540" w:lineRule="exact"/>
        <w:ind w:firstLine="643" w:firstLineChars="200"/>
        <w:rPr>
          <w:rFonts w:ascii="仿宋_GB2312" w:hAnsi="黑体" w:eastAsia="仿宋_GB2312"/>
          <w:sz w:val="32"/>
          <w:szCs w:val="32"/>
        </w:rPr>
      </w:pPr>
      <w:r>
        <w:rPr>
          <w:rFonts w:hint="eastAsia" w:ascii="仿宋_GB2312" w:hAnsi="宋体" w:eastAsia="仿宋_GB2312" w:cs="仿宋_GB2312"/>
          <w:b/>
          <w:bCs/>
          <w:sz w:val="32"/>
          <w:szCs w:val="32"/>
          <w:lang w:bidi="ar"/>
        </w:rPr>
        <w:t>2.部门决算中特定目标类项目绩效自评结果。</w:t>
      </w:r>
      <w:r>
        <w:rPr>
          <w:rFonts w:hint="eastAsia" w:ascii="仿宋_GB2312" w:hAnsi="黑体" w:eastAsia="仿宋_GB2312"/>
          <w:sz w:val="32"/>
          <w:szCs w:val="32"/>
        </w:rPr>
        <w:t>盘锦市住房公积金管理中心2021年度无特定目标类项目。</w:t>
      </w:r>
    </w:p>
    <w:p>
      <w:pPr>
        <w:spacing w:line="540" w:lineRule="exact"/>
        <w:ind w:firstLine="723" w:firstLineChars="200"/>
        <w:rPr>
          <w:rFonts w:ascii="仿宋" w:hAnsi="仿宋" w:eastAsia="仿宋"/>
          <w:b/>
          <w:sz w:val="36"/>
          <w:szCs w:val="36"/>
        </w:rPr>
      </w:pPr>
    </w:p>
    <w:p>
      <w:pPr>
        <w:widowControl/>
        <w:jc w:val="both"/>
        <w:rPr>
          <w:rFonts w:ascii="仿宋_GB2312" w:hAnsi="宋体" w:eastAsia="仿宋_GB2312" w:cs="仿宋_GB2312"/>
          <w:sz w:val="32"/>
          <w:szCs w:val="32"/>
        </w:rPr>
      </w:pPr>
      <w:r>
        <w:rPr>
          <w:rFonts w:hint="eastAsia" w:ascii="仿宋_GB2312" w:hAnsi="宋体" w:eastAsia="仿宋_GB2312" w:cs="仿宋_GB2312"/>
          <w:sz w:val="32"/>
          <w:szCs w:val="32"/>
        </w:rPr>
        <w:br w:type="page"/>
      </w:r>
    </w:p>
    <w:tbl>
      <w:tblPr>
        <w:tblStyle w:val="4"/>
        <w:tblW w:w="11039" w:type="dxa"/>
        <w:tblInd w:w="-914" w:type="dxa"/>
        <w:tblLayout w:type="fixed"/>
        <w:tblCellMar>
          <w:top w:w="0" w:type="dxa"/>
          <w:left w:w="108" w:type="dxa"/>
          <w:bottom w:w="0" w:type="dxa"/>
          <w:right w:w="108" w:type="dxa"/>
        </w:tblCellMar>
      </w:tblPr>
      <w:tblGrid>
        <w:gridCol w:w="417"/>
        <w:gridCol w:w="417"/>
        <w:gridCol w:w="417"/>
        <w:gridCol w:w="881"/>
        <w:gridCol w:w="375"/>
        <w:gridCol w:w="377"/>
        <w:gridCol w:w="417"/>
        <w:gridCol w:w="507"/>
        <w:gridCol w:w="510"/>
        <w:gridCol w:w="999"/>
        <w:gridCol w:w="736"/>
        <w:gridCol w:w="191"/>
        <w:gridCol w:w="393"/>
        <w:gridCol w:w="281"/>
        <w:gridCol w:w="364"/>
        <w:gridCol w:w="296"/>
        <w:gridCol w:w="424"/>
        <w:gridCol w:w="262"/>
        <w:gridCol w:w="518"/>
        <w:gridCol w:w="871"/>
        <w:gridCol w:w="959"/>
        <w:gridCol w:w="427"/>
      </w:tblGrid>
      <w:tr>
        <w:tblPrEx>
          <w:tblCellMar>
            <w:top w:w="0" w:type="dxa"/>
            <w:left w:w="108" w:type="dxa"/>
            <w:bottom w:w="0" w:type="dxa"/>
            <w:right w:w="108" w:type="dxa"/>
          </w:tblCellMar>
        </w:tblPrEx>
        <w:trPr>
          <w:gridAfter w:val="1"/>
          <w:wAfter w:w="427" w:type="dxa"/>
          <w:trHeight w:val="624" w:hRule="atLeast"/>
        </w:trPr>
        <w:tc>
          <w:tcPr>
            <w:tcW w:w="10612" w:type="dxa"/>
            <w:gridSpan w:val="21"/>
            <w:vMerge w:val="restart"/>
            <w:tcBorders>
              <w:top w:val="nil"/>
              <w:left w:val="nil"/>
              <w:bottom w:val="nil"/>
              <w:right w:val="nil"/>
            </w:tcBorders>
            <w:shd w:val="clear" w:color="auto" w:fill="FFFFFF"/>
            <w:vAlign w:val="center"/>
          </w:tcPr>
          <w:p>
            <w:pPr>
              <w:widowControl/>
              <w:jc w:val="center"/>
              <w:textAlignment w:val="center"/>
              <w:rPr>
                <w:rFonts w:ascii="宋体" w:hAnsi="宋体" w:cs="宋体"/>
                <w:b/>
                <w:bCs/>
                <w:color w:val="000000"/>
                <w:sz w:val="32"/>
                <w:szCs w:val="32"/>
              </w:rPr>
            </w:pPr>
            <w:r>
              <w:rPr>
                <w:rStyle w:val="10"/>
                <w:rFonts w:hint="default"/>
                <w:lang w:bidi="ar"/>
              </w:rPr>
              <w:t>部门（单位）整体绩效自评表</w:t>
            </w:r>
            <w:r>
              <w:rPr>
                <w:rStyle w:val="10"/>
                <w:rFonts w:hint="default"/>
                <w:lang w:bidi="ar"/>
              </w:rPr>
              <w:br w:type="textWrapping"/>
            </w:r>
            <w:r>
              <w:rPr>
                <w:rStyle w:val="11"/>
                <w:rFonts w:hint="default"/>
                <w:lang w:bidi="ar"/>
              </w:rPr>
              <w:t>（2021年度）</w:t>
            </w:r>
          </w:p>
        </w:tc>
      </w:tr>
      <w:tr>
        <w:tblPrEx>
          <w:tblCellMar>
            <w:top w:w="0" w:type="dxa"/>
            <w:left w:w="108" w:type="dxa"/>
            <w:bottom w:w="0" w:type="dxa"/>
            <w:right w:w="108" w:type="dxa"/>
          </w:tblCellMar>
        </w:tblPrEx>
        <w:trPr>
          <w:gridAfter w:val="1"/>
          <w:wAfter w:w="427" w:type="dxa"/>
          <w:trHeight w:val="624" w:hRule="atLeast"/>
        </w:trPr>
        <w:tc>
          <w:tcPr>
            <w:tcW w:w="10612" w:type="dxa"/>
            <w:gridSpan w:val="21"/>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gridAfter w:val="1"/>
          <w:wAfter w:w="427" w:type="dxa"/>
          <w:trHeight w:val="624" w:hRule="atLeast"/>
        </w:trPr>
        <w:tc>
          <w:tcPr>
            <w:tcW w:w="10612" w:type="dxa"/>
            <w:gridSpan w:val="21"/>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gridAfter w:val="1"/>
          <w:wAfter w:w="427" w:type="dxa"/>
          <w:trHeight w:val="319" w:hRule="atLeast"/>
        </w:trPr>
        <w:tc>
          <w:tcPr>
            <w:tcW w:w="21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部门（单位）名称</w:t>
            </w:r>
          </w:p>
        </w:tc>
        <w:tc>
          <w:tcPr>
            <w:tcW w:w="848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156012盘锦市住房公积金管理中心-211100000</w:t>
            </w:r>
          </w:p>
        </w:tc>
      </w:tr>
      <w:tr>
        <w:tblPrEx>
          <w:tblCellMar>
            <w:top w:w="0" w:type="dxa"/>
            <w:left w:w="108" w:type="dxa"/>
            <w:bottom w:w="0" w:type="dxa"/>
            <w:right w:w="108" w:type="dxa"/>
          </w:tblCellMar>
        </w:tblPrEx>
        <w:trPr>
          <w:gridAfter w:val="1"/>
          <w:wAfter w:w="427" w:type="dxa"/>
          <w:trHeight w:val="628" w:hRule="atLeast"/>
        </w:trPr>
        <w:tc>
          <w:tcPr>
            <w:tcW w:w="21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部门年初预算收入金额</w:t>
            </w:r>
          </w:p>
        </w:tc>
        <w:tc>
          <w:tcPr>
            <w:tcW w:w="848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1354.99</w:t>
            </w:r>
          </w:p>
        </w:tc>
      </w:tr>
      <w:tr>
        <w:tblPrEx>
          <w:tblCellMar>
            <w:top w:w="0" w:type="dxa"/>
            <w:left w:w="108" w:type="dxa"/>
            <w:bottom w:w="0" w:type="dxa"/>
            <w:right w:w="108" w:type="dxa"/>
          </w:tblCellMar>
        </w:tblPrEx>
        <w:trPr>
          <w:gridAfter w:val="1"/>
          <w:wAfter w:w="427" w:type="dxa"/>
          <w:trHeight w:val="628" w:hRule="atLeast"/>
        </w:trPr>
        <w:tc>
          <w:tcPr>
            <w:tcW w:w="21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部门年初预算支出金额</w:t>
            </w:r>
          </w:p>
        </w:tc>
        <w:tc>
          <w:tcPr>
            <w:tcW w:w="8480" w:type="dxa"/>
            <w:gridSpan w:val="1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1354.99</w:t>
            </w:r>
          </w:p>
        </w:tc>
      </w:tr>
      <w:tr>
        <w:tblPrEx>
          <w:tblCellMar>
            <w:top w:w="0" w:type="dxa"/>
            <w:left w:w="108" w:type="dxa"/>
            <w:bottom w:w="0" w:type="dxa"/>
            <w:right w:w="108" w:type="dxa"/>
          </w:tblCellMar>
        </w:tblPrEx>
        <w:trPr>
          <w:gridAfter w:val="1"/>
          <w:wAfter w:w="427" w:type="dxa"/>
          <w:trHeight w:val="936"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年度主要任务</w:t>
            </w: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工作名称</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对应项目</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项目下达金额</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项目执行金额</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项目执行率</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分值</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得分</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完成情况</w:t>
            </w:r>
          </w:p>
        </w:tc>
      </w:tr>
      <w:tr>
        <w:tblPrEx>
          <w:tblCellMar>
            <w:top w:w="0" w:type="dxa"/>
            <w:left w:w="108" w:type="dxa"/>
            <w:bottom w:w="0" w:type="dxa"/>
            <w:right w:w="108" w:type="dxa"/>
          </w:tblCellMar>
        </w:tblPrEx>
        <w:trPr>
          <w:gridAfter w:val="1"/>
          <w:wAfter w:w="427" w:type="dxa"/>
          <w:trHeight w:val="124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保障单位正常运转，确保公积金各项业务指标顺利完成。</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手续费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133.038078</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133.03</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124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保障单位正常运转，确保公积金业务系统正常运行。</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网络租赁费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51.602608</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51.6</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93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保障单位正常运转，五个办事处物业服务。</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物业服务费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126.6</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财政直接支付。</w:t>
            </w:r>
          </w:p>
        </w:tc>
      </w:tr>
      <w:tr>
        <w:tblPrEx>
          <w:tblCellMar>
            <w:top w:w="0" w:type="dxa"/>
            <w:left w:w="108" w:type="dxa"/>
            <w:bottom w:w="0" w:type="dxa"/>
            <w:right w:w="108" w:type="dxa"/>
          </w:tblCellMar>
        </w:tblPrEx>
        <w:trPr>
          <w:gridAfter w:val="1"/>
          <w:wAfter w:w="427" w:type="dxa"/>
          <w:trHeight w:val="1553"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保障单位正常运转，五个办事处水电气取暖等费用及合同制人员体检费。</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其他办公用房运行经费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18.127901</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18.12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628"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保障单位信息系统安全运行。</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公积金业务系统硬件维护费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93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保障单位正常运转，确保公积金业务正常办理。</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印刷费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628"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委托中介机构进行审计。</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中介机构审计费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124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为防范住房公积金业务风险，常年聘请法律顾问。</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法律顾问咨询费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9.99</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9.99</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1173"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保障公积金业务系统稳定运行。</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公积金业务系统软件维护费</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按照采购要求，待服务完成验收后支付。</w:t>
            </w:r>
          </w:p>
        </w:tc>
      </w:tr>
      <w:tr>
        <w:tblPrEx>
          <w:tblCellMar>
            <w:top w:w="0" w:type="dxa"/>
            <w:left w:w="108" w:type="dxa"/>
            <w:bottom w:w="0" w:type="dxa"/>
            <w:right w:w="108" w:type="dxa"/>
          </w:tblCellMar>
        </w:tblPrEx>
        <w:trPr>
          <w:gridAfter w:val="1"/>
          <w:wAfter w:w="427" w:type="dxa"/>
          <w:trHeight w:val="93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保障在职职工工资福利，保障单位正常运转。</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人员类项目</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913.775366</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913.77</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3.6</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936"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7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保障单位正常运转，完成日常工作任务。</w:t>
            </w:r>
          </w:p>
        </w:tc>
        <w:tc>
          <w:tcPr>
            <w:tcW w:w="167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公用经费项目</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83.993325</w:t>
            </w:r>
          </w:p>
        </w:tc>
        <w:tc>
          <w:tcPr>
            <w:tcW w:w="160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83.99</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已完成。</w:t>
            </w:r>
          </w:p>
        </w:tc>
      </w:tr>
      <w:tr>
        <w:tblPrEx>
          <w:tblCellMar>
            <w:top w:w="0" w:type="dxa"/>
            <w:left w:w="108" w:type="dxa"/>
            <w:bottom w:w="0" w:type="dxa"/>
            <w:right w:w="108" w:type="dxa"/>
          </w:tblCellMar>
        </w:tblPrEx>
        <w:trPr>
          <w:gridAfter w:val="1"/>
          <w:wAfter w:w="427" w:type="dxa"/>
          <w:trHeight w:val="319"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年度目标</w:t>
            </w:r>
          </w:p>
        </w:tc>
        <w:tc>
          <w:tcPr>
            <w:tcW w:w="582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年初总体目标</w:t>
            </w:r>
          </w:p>
        </w:tc>
        <w:tc>
          <w:tcPr>
            <w:tcW w:w="43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全年完成情况</w:t>
            </w:r>
          </w:p>
        </w:tc>
      </w:tr>
      <w:tr>
        <w:tblPrEx>
          <w:tblCellMar>
            <w:top w:w="0" w:type="dxa"/>
            <w:left w:w="108" w:type="dxa"/>
            <w:bottom w:w="0" w:type="dxa"/>
            <w:right w:w="108" w:type="dxa"/>
          </w:tblCellMar>
        </w:tblPrEx>
        <w:trPr>
          <w:gridAfter w:val="1"/>
          <w:wAfter w:w="427" w:type="dxa"/>
          <w:trHeight w:val="1245"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827"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保障单位各项工作的正常开展，确保公积金各项业务指标顺利完成。</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服务全市缴存单位及职工，保证中心业务正常开展，提升服务质量。</w:t>
            </w:r>
          </w:p>
        </w:tc>
        <w:tc>
          <w:tcPr>
            <w:tcW w:w="43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保证了中心各项业务的正常开展，提高了工作效率和服务质量。</w:t>
            </w:r>
          </w:p>
        </w:tc>
      </w:tr>
      <w:tr>
        <w:tblPrEx>
          <w:tblCellMar>
            <w:top w:w="0" w:type="dxa"/>
            <w:left w:w="108" w:type="dxa"/>
            <w:bottom w:w="0" w:type="dxa"/>
            <w:right w:w="108" w:type="dxa"/>
          </w:tblCellMar>
        </w:tblPrEx>
        <w:trPr>
          <w:trHeight w:val="319" w:hRule="atLeast"/>
        </w:trPr>
        <w:tc>
          <w:tcPr>
            <w:tcW w:w="41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绩效指标</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一级指标</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二级指标</w:t>
            </w:r>
          </w:p>
        </w:tc>
        <w:tc>
          <w:tcPr>
            <w:tcW w:w="881"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三级指标</w:t>
            </w:r>
          </w:p>
        </w:tc>
        <w:tc>
          <w:tcPr>
            <w:tcW w:w="375"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运算符号</w:t>
            </w:r>
          </w:p>
        </w:tc>
        <w:tc>
          <w:tcPr>
            <w:tcW w:w="377"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指标值</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度量单位</w:t>
            </w:r>
          </w:p>
        </w:tc>
        <w:tc>
          <w:tcPr>
            <w:tcW w:w="1017"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全年完成值</w:t>
            </w:r>
          </w:p>
        </w:tc>
        <w:tc>
          <w:tcPr>
            <w:tcW w:w="99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完成程度</w:t>
            </w:r>
          </w:p>
        </w:tc>
        <w:tc>
          <w:tcPr>
            <w:tcW w:w="736"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分值</w:t>
            </w:r>
          </w:p>
        </w:tc>
        <w:tc>
          <w:tcPr>
            <w:tcW w:w="584"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得分</w:t>
            </w:r>
          </w:p>
        </w:tc>
        <w:tc>
          <w:tcPr>
            <w:tcW w:w="3975" w:type="dxa"/>
            <w:gridSpan w:val="8"/>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p>
        </w:tc>
        <w:tc>
          <w:tcPr>
            <w:tcW w:w="427"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改进措施</w:t>
            </w:r>
          </w:p>
        </w:tc>
      </w:tr>
      <w:tr>
        <w:tblPrEx>
          <w:tblCellMar>
            <w:top w:w="0" w:type="dxa"/>
            <w:left w:w="108" w:type="dxa"/>
            <w:bottom w:w="0" w:type="dxa"/>
            <w:right w:w="108" w:type="dxa"/>
          </w:tblCellMar>
        </w:tblPrEx>
        <w:trPr>
          <w:trHeight w:val="2622"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881"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7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37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017"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9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73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84"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经费保障原因分析</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制度保障原因分析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人员保障原因分析</w:t>
            </w: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硬件条件保障原因分析</w:t>
            </w: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其他原因分析</w:t>
            </w:r>
          </w:p>
        </w:tc>
        <w:tc>
          <w:tcPr>
            <w:tcW w:w="427" w:type="dxa"/>
            <w:vMerge w:val="continue"/>
            <w:tcBorders>
              <w:left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247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履职效能</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重点工作履行情况</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重点工作办结率</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47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整体工作完成情况</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总体工作完成率</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6.8</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384"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基础管理</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综合管理水平</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862"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预算执行</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预算执行效率</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预算执行率</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862"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管理效率</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预算编制管理</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预算绩效目标覆盖率</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384"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预算监督管理</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预决算公开情况</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全部公开</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384"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预算收支管理</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预算收入管理规范性</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384"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预算支出管理规范性</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管理规范</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384"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财务管理</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内控制度有效性</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制度有效</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245"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资产管理</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固定资产利用率</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909"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业务管理</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政府采购管理违法违规行为发生次数</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1862"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运行成本</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成本控制成效</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“三公”经费变动率</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1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社会效应</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服务对象满意度</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办理业务客户满意度</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17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社会公众满意度</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窗口服务效率满意度</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2384"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可持续性</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体制机制改革</w:t>
            </w:r>
          </w:p>
        </w:tc>
        <w:tc>
          <w:tcPr>
            <w:tcW w:w="8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建立预算绩效管理机制</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完善机制</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5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6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gridAfter w:val="1"/>
          <w:wAfter w:w="427" w:type="dxa"/>
          <w:trHeight w:val="329" w:hRule="atLeast"/>
        </w:trPr>
        <w:tc>
          <w:tcPr>
            <w:tcW w:w="6244" w:type="dxa"/>
            <w:gridSpan w:val="12"/>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总评价得分</w:t>
            </w:r>
          </w:p>
        </w:tc>
        <w:tc>
          <w:tcPr>
            <w:tcW w:w="4368" w:type="dxa"/>
            <w:gridSpan w:val="9"/>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92.8</w:t>
            </w:r>
          </w:p>
        </w:tc>
      </w:tr>
    </w:tbl>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p>
    <w:p>
      <w:pPr>
        <w:widowControl/>
        <w:jc w:val="center"/>
        <w:rPr>
          <w:rFonts w:ascii="仿宋_GB2312" w:hAnsi="宋体" w:eastAsia="仿宋_GB2312" w:cs="仿宋_GB2312"/>
          <w:sz w:val="32"/>
          <w:szCs w:val="32"/>
        </w:rPr>
      </w:pPr>
      <w:r>
        <w:rPr>
          <w:rFonts w:hint="eastAsia" w:ascii="仿宋_GB2312" w:hAnsi="宋体" w:eastAsia="仿宋_GB2312" w:cs="仿宋_GB2312"/>
          <w:sz w:val="32"/>
          <w:szCs w:val="32"/>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16.一般公共服务支出（类）政府办公厅（室）及相关机构事务（款）事业运行（项）：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jc w:val="left"/>
        <w:rPr>
          <w:rFonts w:ascii="仿宋_GB2312" w:eastAsia="仿宋_GB2312" w:cs="黑体"/>
          <w:sz w:val="32"/>
          <w:szCs w:val="32"/>
        </w:rPr>
      </w:pPr>
      <w:r>
        <w:rPr>
          <w:rFonts w:hint="eastAsia" w:ascii="仿宋_GB2312" w:eastAsia="仿宋_GB2312"/>
          <w:b/>
          <w:sz w:val="32"/>
          <w:szCs w:val="32"/>
        </w:rPr>
        <w:t>17.</w:t>
      </w:r>
      <w:bookmarkStart w:id="4" w:name="_Hlk83134263"/>
      <w:r>
        <w:rPr>
          <w:rFonts w:hint="eastAsia" w:ascii="仿宋_GB2312" w:eastAsia="仿宋_GB2312"/>
          <w:b/>
          <w:sz w:val="32"/>
          <w:szCs w:val="32"/>
        </w:rPr>
        <w:t>社会保障和就业支出（类）行政事业单位养老支出（款）事业单位离退休（项）</w:t>
      </w:r>
      <w:bookmarkEnd w:id="4"/>
      <w:r>
        <w:rPr>
          <w:rFonts w:hint="eastAsia" w:ascii="仿宋_GB2312" w:eastAsia="仿宋_GB2312"/>
          <w:b/>
          <w:sz w:val="32"/>
          <w:szCs w:val="32"/>
        </w:rPr>
        <w:t>：</w:t>
      </w:r>
      <w:r>
        <w:rPr>
          <w:rFonts w:hint="eastAsia" w:ascii="仿宋_GB2312" w:eastAsia="仿宋_GB2312"/>
          <w:sz w:val="32"/>
          <w:szCs w:val="32"/>
        </w:rPr>
        <w:t>反映事业单位开支的离退休经费。</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18.社会保障和就业支出（类）行政事业单位养老支出（款）机关事业单位基本养老保险缴费支出（项）：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spacing w:line="540" w:lineRule="exact"/>
        <w:ind w:firstLine="643" w:firstLineChars="200"/>
        <w:rPr>
          <w:rFonts w:ascii="仿宋_GB2312" w:eastAsia="仿宋_GB2312" w:cs="黑体"/>
          <w:sz w:val="32"/>
          <w:szCs w:val="32"/>
        </w:rPr>
      </w:pPr>
      <w:r>
        <w:rPr>
          <w:rFonts w:hint="eastAsia" w:ascii="仿宋_GB2312" w:eastAsia="仿宋_GB2312"/>
          <w:b/>
          <w:sz w:val="32"/>
          <w:szCs w:val="32"/>
        </w:rPr>
        <w:t>19.社会保障和就业支出（类）行政事业单位养老支出（款）机关事业单位职业年金缴费支出（项）：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20.社会保障和就业支出（类）抚恤（款）伤残抚恤（项）：</w:t>
      </w:r>
      <w:r>
        <w:rPr>
          <w:rFonts w:hint="eastAsia" w:ascii="仿宋_GB2312" w:eastAsia="仿宋_GB2312"/>
          <w:sz w:val="32"/>
          <w:szCs w:val="32"/>
        </w:rPr>
        <w:t>反映按规定用于伤残人员的抚恤金和按规定开支的各种伤残补助费。</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21.社会保障和就业支出（类）其他社会保障和就业支出（款）其他社会保障和就业支出（项）：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22.卫生健康支出（类）</w:t>
      </w:r>
      <w:bookmarkStart w:id="5" w:name="_Hlk83135488"/>
      <w:r>
        <w:rPr>
          <w:rFonts w:hint="eastAsia" w:ascii="仿宋_GB2312" w:eastAsia="仿宋_GB2312"/>
          <w:b/>
          <w:sz w:val="32"/>
          <w:szCs w:val="32"/>
        </w:rPr>
        <w:t>行政事业单位医疗</w:t>
      </w:r>
      <w:bookmarkEnd w:id="5"/>
      <w:r>
        <w:rPr>
          <w:rFonts w:hint="eastAsia" w:ascii="仿宋_GB2312" w:eastAsia="仿宋_GB2312"/>
          <w:b/>
          <w:sz w:val="32"/>
          <w:szCs w:val="32"/>
        </w:rPr>
        <w:t>（款）事业单位医疗（项）：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autoSpaceDE w:val="0"/>
        <w:autoSpaceDN w:val="0"/>
        <w:adjustRightInd w:val="0"/>
        <w:spacing w:line="540" w:lineRule="exact"/>
        <w:ind w:firstLine="640"/>
        <w:jc w:val="left"/>
        <w:rPr>
          <w:rFonts w:ascii="仿宋_GB2312" w:eastAsia="仿宋_GB2312"/>
          <w:sz w:val="32"/>
          <w:szCs w:val="32"/>
        </w:rPr>
      </w:pPr>
      <w:r>
        <w:rPr>
          <w:rFonts w:hint="eastAsia" w:ascii="仿宋_GB2312" w:eastAsia="仿宋_GB2312"/>
          <w:b/>
          <w:sz w:val="32"/>
          <w:szCs w:val="32"/>
        </w:rPr>
        <w:t>23.卫生健康支出（类）行政事业单位医疗（款）其他行政事业单位医疗支出（项）：</w:t>
      </w:r>
      <w:r>
        <w:rPr>
          <w:rFonts w:hint="eastAsia" w:ascii="仿宋_GB2312" w:eastAsia="仿宋_GB2312"/>
          <w:sz w:val="32"/>
          <w:szCs w:val="32"/>
        </w:rPr>
        <w:t>反映除上述项目以外的其他用于行政事业单位医疗方面的支出。</w:t>
      </w:r>
    </w:p>
    <w:p>
      <w:pPr>
        <w:autoSpaceDE w:val="0"/>
        <w:autoSpaceDN w:val="0"/>
        <w:adjustRightInd w:val="0"/>
        <w:spacing w:line="540" w:lineRule="exact"/>
        <w:ind w:firstLine="640"/>
        <w:jc w:val="left"/>
        <w:rPr>
          <w:rFonts w:ascii="仿宋_GB2312" w:eastAsia="仿宋_GB2312"/>
          <w:sz w:val="32"/>
          <w:szCs w:val="32"/>
        </w:rPr>
      </w:pPr>
      <w:bookmarkStart w:id="6" w:name="_Hlk83135859"/>
      <w:r>
        <w:rPr>
          <w:rFonts w:hint="eastAsia" w:ascii="仿宋_GB2312" w:eastAsia="仿宋_GB2312"/>
          <w:b/>
          <w:sz w:val="32"/>
          <w:szCs w:val="32"/>
        </w:rPr>
        <w:t>24.住房保障支出（类）住房改革支出（款）住房公积金（项）：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bookmarkEnd w:id="6"/>
    <w:p>
      <w:pPr>
        <w:autoSpaceDE w:val="0"/>
        <w:autoSpaceDN w:val="0"/>
        <w:adjustRightInd w:val="0"/>
        <w:spacing w:line="540" w:lineRule="exact"/>
        <w:ind w:firstLine="640"/>
        <w:jc w:val="left"/>
        <w:rPr>
          <w:rFonts w:ascii="仿宋_GB2312" w:eastAsia="仿宋_GB2312"/>
          <w:sz w:val="32"/>
          <w:szCs w:val="32"/>
        </w:rPr>
      </w:pPr>
      <w:r>
        <w:rPr>
          <w:rFonts w:hint="eastAsia" w:ascii="仿宋_GB2312" w:eastAsia="仿宋_GB2312"/>
          <w:b/>
          <w:sz w:val="32"/>
          <w:szCs w:val="32"/>
        </w:rPr>
        <w:t>25.住房保障支出（类）住房改革支出（款）购房补贴（项）：</w:t>
      </w:r>
      <w:r>
        <w:rPr>
          <w:rFonts w:hint="eastAsia" w:ascii="仿宋_GB2312" w:eastAsia="仿宋_GB2312"/>
          <w:sz w:val="32"/>
          <w:szCs w:val="32"/>
        </w:rPr>
        <w:t>反映按房改政策规定，行政事业单位向符合条件职工（含离退休人员）、军队（含武警）向转役复原离退休人员发放的用于购买住房的补贴。</w:t>
      </w:r>
    </w:p>
    <w:p>
      <w:pPr>
        <w:autoSpaceDE w:val="0"/>
        <w:autoSpaceDN w:val="0"/>
        <w:adjustRightInd w:val="0"/>
        <w:spacing w:line="540" w:lineRule="exact"/>
        <w:ind w:firstLine="640"/>
        <w:jc w:val="left"/>
        <w:rPr>
          <w:rFonts w:ascii="仿宋_GB2312" w:eastAsia="仿宋_GB2312"/>
          <w:sz w:val="32"/>
          <w:szCs w:val="32"/>
        </w:rPr>
      </w:pPr>
      <w:r>
        <w:rPr>
          <w:rFonts w:hint="eastAsia" w:ascii="仿宋_GB2312" w:eastAsia="仿宋_GB2312"/>
          <w:b/>
          <w:sz w:val="32"/>
          <w:szCs w:val="32"/>
        </w:rPr>
        <w:t>26.</w:t>
      </w:r>
      <w:bookmarkStart w:id="7" w:name="_Hlk113571929"/>
      <w:r>
        <w:rPr>
          <w:rFonts w:hint="eastAsia" w:ascii="仿宋_GB2312" w:eastAsia="仿宋_GB2312"/>
          <w:b/>
          <w:sz w:val="32"/>
          <w:szCs w:val="32"/>
        </w:rPr>
        <w:t>住房保障支出（类）城乡社区住宅（款）住房公积金管理（项）：</w:t>
      </w:r>
      <w:bookmarkEnd w:id="7"/>
      <w:bookmarkStart w:id="8" w:name="_Hlk113572020"/>
      <w:r>
        <w:rPr>
          <w:rFonts w:hint="eastAsia" w:ascii="仿宋_GB2312" w:eastAsia="仿宋_GB2312"/>
          <w:sz w:val="32"/>
          <w:szCs w:val="32"/>
        </w:rPr>
        <w:t>反映</w:t>
      </w:r>
      <w:bookmarkEnd w:id="8"/>
      <w:r>
        <w:rPr>
          <w:rFonts w:hint="eastAsia" w:ascii="仿宋_GB2312" w:eastAsia="仿宋_GB2312"/>
          <w:sz w:val="32"/>
          <w:szCs w:val="32"/>
        </w:rPr>
        <w:t>经财政部门批准用于住房公积金管理机构的管理费用支出。</w:t>
      </w:r>
    </w:p>
    <w:p>
      <w:pPr>
        <w:autoSpaceDE w:val="0"/>
        <w:autoSpaceDN w:val="0"/>
        <w:adjustRightInd w:val="0"/>
        <w:spacing w:line="540" w:lineRule="exact"/>
        <w:ind w:firstLine="640"/>
        <w:jc w:val="left"/>
        <w:rPr>
          <w:rFonts w:hint="eastAsia" w:ascii="仿宋_GB2312" w:eastAsia="仿宋_GB2312"/>
          <w:sz w:val="32"/>
          <w:szCs w:val="32"/>
        </w:rPr>
      </w:pPr>
      <w:r>
        <w:rPr>
          <w:rFonts w:hint="eastAsia" w:ascii="仿宋_GB2312" w:eastAsia="仿宋_GB2312"/>
          <w:b/>
          <w:bCs/>
          <w:sz w:val="32"/>
          <w:szCs w:val="32"/>
        </w:rPr>
        <w:t xml:space="preserve">27. </w:t>
      </w:r>
      <w:r>
        <w:rPr>
          <w:rFonts w:hint="eastAsia" w:ascii="仿宋_GB2312" w:eastAsia="仿宋_GB2312"/>
          <w:b/>
          <w:sz w:val="32"/>
          <w:szCs w:val="32"/>
        </w:rPr>
        <w:t>其他支出（类）其他支出（款）其他支出（项）：</w:t>
      </w:r>
      <w:r>
        <w:rPr>
          <w:rFonts w:hint="eastAsia" w:ascii="仿宋_GB2312" w:eastAsia="仿宋_GB2312"/>
          <w:sz w:val="32"/>
          <w:szCs w:val="32"/>
        </w:rPr>
        <w:t>反映除上述项目以外其他不能划分到具体功能科目中的支出项目。</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28.工资福利支出：</w:t>
      </w:r>
      <w:r>
        <w:rPr>
          <w:rFonts w:hint="eastAsia" w:ascii="仿宋_GB2312" w:eastAsia="仿宋_GB2312"/>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29.商品和服务支出：</w:t>
      </w:r>
      <w:r>
        <w:rPr>
          <w:rFonts w:hint="eastAsia" w:ascii="仿宋_GB2312" w:eastAsia="仿宋_GB2312"/>
          <w:sz w:val="32"/>
          <w:szCs w:val="32"/>
        </w:rPr>
        <w:t>反映单位购买商品和服务的支出，不包括用于购置固定资产、战略性和应急性物资储备等资本性支出。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30.对个人和家庭补助：</w:t>
      </w:r>
      <w:r>
        <w:rPr>
          <w:rFonts w:hint="eastAsia" w:ascii="仿宋_GB2312" w:eastAsia="仿宋_GB2312"/>
          <w:sz w:val="32"/>
          <w:szCs w:val="32"/>
        </w:rPr>
        <w:t>反映政府用于对个人和家庭的补助支出。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31.资本性支出：</w:t>
      </w:r>
      <w:r>
        <w:rPr>
          <w:rFonts w:hint="eastAsia" w:ascii="仿宋_GB2312" w:eastAsia="仿宋_GB2312"/>
          <w:sz w:val="32"/>
          <w:szCs w:val="32"/>
        </w:rPr>
        <w:t>反映各单位安排的资本性支出。切块由发展改革部门安排的基本建设支出不在此科目反映。</w:t>
      </w: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rPr>
          <w:rFonts w:hint="eastAsia"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ascii="仿宋_GB2312" w:eastAsia="仿宋_GB2312"/>
          <w:sz w:val="32"/>
          <w:szCs w:val="32"/>
        </w:rPr>
      </w:pPr>
      <w:r>
        <w:rPr>
          <w:rFonts w:hint="eastAsia" w:ascii="仿宋_GB2312" w:eastAsia="仿宋_GB2312"/>
          <w:sz w:val="32"/>
          <w:szCs w:val="32"/>
        </w:rPr>
        <w:t>详见：《盘锦市住房公积金管理中心2021年度部门决算公开表》</w:t>
      </w: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39E29"/>
    <w:multiLevelType w:val="singleLevel"/>
    <w:tmpl w:val="F5B39E29"/>
    <w:lvl w:ilvl="0" w:tentative="0">
      <w:start w:val="1"/>
      <w:numFmt w:val="decimal"/>
      <w:lvlText w:val="%1."/>
      <w:lvlJc w:val="left"/>
      <w:pPr>
        <w:tabs>
          <w:tab w:val="left" w:pos="312"/>
        </w:tabs>
      </w:pPr>
    </w:lvl>
  </w:abstractNum>
  <w:abstractNum w:abstractNumId="1">
    <w:nsid w:val="FFFADE6E"/>
    <w:multiLevelType w:val="singleLevel"/>
    <w:tmpl w:val="FFFADE6E"/>
    <w:lvl w:ilvl="0" w:tentative="0">
      <w:start w:val="2"/>
      <w:numFmt w:val="chineseCounting"/>
      <w:suff w:val="space"/>
      <w:lvlText w:val="第%1部分"/>
      <w:lvlJc w:val="left"/>
      <w:rPr>
        <w:rFonts w:hint="eastAsia"/>
      </w:rPr>
    </w:lvl>
  </w:abstractNum>
  <w:abstractNum w:abstractNumId="2">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FF5E76"/>
    <w:rsid w:val="000129BD"/>
    <w:rsid w:val="00035D14"/>
    <w:rsid w:val="000363B0"/>
    <w:rsid w:val="00040CDB"/>
    <w:rsid w:val="0007490D"/>
    <w:rsid w:val="00095ED2"/>
    <w:rsid w:val="000B1267"/>
    <w:rsid w:val="000B747E"/>
    <w:rsid w:val="00105CD5"/>
    <w:rsid w:val="00121F89"/>
    <w:rsid w:val="001534FB"/>
    <w:rsid w:val="001B2E59"/>
    <w:rsid w:val="001D0AFE"/>
    <w:rsid w:val="001E65CF"/>
    <w:rsid w:val="001E6627"/>
    <w:rsid w:val="001F77F4"/>
    <w:rsid w:val="002C2F76"/>
    <w:rsid w:val="002D0539"/>
    <w:rsid w:val="00334D08"/>
    <w:rsid w:val="003677BD"/>
    <w:rsid w:val="003B6BCF"/>
    <w:rsid w:val="00435FD2"/>
    <w:rsid w:val="00445C25"/>
    <w:rsid w:val="004931DF"/>
    <w:rsid w:val="004C6394"/>
    <w:rsid w:val="004D64B3"/>
    <w:rsid w:val="004F3C27"/>
    <w:rsid w:val="005065D8"/>
    <w:rsid w:val="005329EA"/>
    <w:rsid w:val="00557D0D"/>
    <w:rsid w:val="005C4820"/>
    <w:rsid w:val="00612737"/>
    <w:rsid w:val="00642156"/>
    <w:rsid w:val="006714E6"/>
    <w:rsid w:val="006824D3"/>
    <w:rsid w:val="00691DF7"/>
    <w:rsid w:val="006A49D0"/>
    <w:rsid w:val="006B192D"/>
    <w:rsid w:val="006B7AC7"/>
    <w:rsid w:val="006D7B97"/>
    <w:rsid w:val="006E62F5"/>
    <w:rsid w:val="006F7CDD"/>
    <w:rsid w:val="0071026F"/>
    <w:rsid w:val="00773562"/>
    <w:rsid w:val="00794A7B"/>
    <w:rsid w:val="007A00FA"/>
    <w:rsid w:val="007A38E7"/>
    <w:rsid w:val="007B4F29"/>
    <w:rsid w:val="007B57C4"/>
    <w:rsid w:val="00806D13"/>
    <w:rsid w:val="0082797A"/>
    <w:rsid w:val="0085668F"/>
    <w:rsid w:val="008964CE"/>
    <w:rsid w:val="008D66DA"/>
    <w:rsid w:val="008E3075"/>
    <w:rsid w:val="00917870"/>
    <w:rsid w:val="00966C00"/>
    <w:rsid w:val="00973D07"/>
    <w:rsid w:val="009A3828"/>
    <w:rsid w:val="009B0643"/>
    <w:rsid w:val="00A21EBE"/>
    <w:rsid w:val="00A30F57"/>
    <w:rsid w:val="00A431D4"/>
    <w:rsid w:val="00A56C3D"/>
    <w:rsid w:val="00A60D54"/>
    <w:rsid w:val="00AA6D79"/>
    <w:rsid w:val="00AC7D33"/>
    <w:rsid w:val="00AD5574"/>
    <w:rsid w:val="00B66DFD"/>
    <w:rsid w:val="00B97572"/>
    <w:rsid w:val="00BA2308"/>
    <w:rsid w:val="00BB07AC"/>
    <w:rsid w:val="00BF7800"/>
    <w:rsid w:val="00C06E3C"/>
    <w:rsid w:val="00C1145F"/>
    <w:rsid w:val="00C21AB5"/>
    <w:rsid w:val="00C73ECD"/>
    <w:rsid w:val="00C95CFC"/>
    <w:rsid w:val="00CD0073"/>
    <w:rsid w:val="00DD6290"/>
    <w:rsid w:val="00E23E5B"/>
    <w:rsid w:val="00E47D99"/>
    <w:rsid w:val="00E73B0C"/>
    <w:rsid w:val="00E83434"/>
    <w:rsid w:val="00F00A08"/>
    <w:rsid w:val="00F47918"/>
    <w:rsid w:val="00F8356A"/>
    <w:rsid w:val="00F859B8"/>
    <w:rsid w:val="00FD3F92"/>
    <w:rsid w:val="00FD60CF"/>
    <w:rsid w:val="00FE2C08"/>
    <w:rsid w:val="00FF5E76"/>
    <w:rsid w:val="0821725B"/>
    <w:rsid w:val="0AB75389"/>
    <w:rsid w:val="17BA1451"/>
    <w:rsid w:val="1BE72949"/>
    <w:rsid w:val="1BFFDC1F"/>
    <w:rsid w:val="1E25654C"/>
    <w:rsid w:val="2DE12D6F"/>
    <w:rsid w:val="3BFE29B7"/>
    <w:rsid w:val="3EBDC3EA"/>
    <w:rsid w:val="3EE05D87"/>
    <w:rsid w:val="3F1F7AA3"/>
    <w:rsid w:val="557ACC7C"/>
    <w:rsid w:val="684703B9"/>
    <w:rsid w:val="96FEE873"/>
    <w:rsid w:val="B66FC2D4"/>
    <w:rsid w:val="BFFC44DD"/>
    <w:rsid w:val="DFDB7912"/>
    <w:rsid w:val="E5A42D6E"/>
    <w:rsid w:val="EF5E8323"/>
    <w:rsid w:val="FD37B20A"/>
    <w:rsid w:val="FEBFF6FF"/>
    <w:rsid w:val="FFD8124A"/>
    <w:rsid w:val="FFEFC10F"/>
    <w:rsid w:val="FFF4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41"/>
    <w:basedOn w:val="5"/>
    <w:qFormat/>
    <w:uiPriority w:val="0"/>
    <w:rPr>
      <w:rFonts w:hint="eastAsia" w:ascii="宋体" w:hAnsi="宋体" w:eastAsia="宋体" w:cs="宋体"/>
      <w:b/>
      <w:bCs/>
      <w:color w:val="000000"/>
      <w:sz w:val="32"/>
      <w:szCs w:val="32"/>
      <w:u w:val="none"/>
    </w:rPr>
  </w:style>
  <w:style w:type="character" w:customStyle="1" w:styleId="11">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7382</Words>
  <Characters>8263</Characters>
  <Lines>63</Lines>
  <Paragraphs>17</Paragraphs>
  <TotalTime>31</TotalTime>
  <ScaleCrop>false</ScaleCrop>
  <LinksUpToDate>false</LinksUpToDate>
  <CharactersWithSpaces>8297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2022-09-08T02:59:00Z</dcterms:created>
  <dc:creator>lenovo</dc:creator>
  <cp:lastModifiedBy>Administrator</cp:lastModifiedBy>
  <dcterms:modified xsi:type="dcterms:W3CDTF">2022-09-22T04:47:10Z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