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52"/>
          <w:szCs w:val="52"/>
        </w:rPr>
      </w:pPr>
      <w:r>
        <w:rPr>
          <w:rFonts w:ascii="宋体" w:hAnsi="宋体"/>
          <w:b/>
          <w:sz w:val="52"/>
          <w:szCs w:val="52"/>
        </w:rPr>
        <w:t xml:space="preserve"> </w:t>
      </w: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480" w:lineRule="auto"/>
        <w:jc w:val="center"/>
        <w:rPr>
          <w:rFonts w:ascii="宋体" w:hAnsi="宋体"/>
          <w:b/>
          <w:sz w:val="52"/>
          <w:szCs w:val="52"/>
        </w:rPr>
      </w:pPr>
      <w:r>
        <w:rPr>
          <w:rFonts w:hint="eastAsia" w:ascii="宋体" w:hAnsi="宋体"/>
          <w:b/>
          <w:sz w:val="52"/>
          <w:szCs w:val="52"/>
        </w:rPr>
        <w:t>盘锦市商贸物流基地建设服务中心</w:t>
      </w:r>
    </w:p>
    <w:p>
      <w:pPr>
        <w:spacing w:line="480" w:lineRule="auto"/>
        <w:jc w:val="center"/>
        <w:rPr>
          <w:rFonts w:ascii="宋体" w:hAnsi="宋体"/>
          <w:b/>
          <w:sz w:val="52"/>
          <w:szCs w:val="52"/>
        </w:rPr>
      </w:pPr>
      <w:r>
        <w:rPr>
          <w:rFonts w:hint="eastAsia" w:ascii="宋体" w:hAnsi="宋体"/>
          <w:b/>
          <w:sz w:val="52"/>
          <w:szCs w:val="52"/>
        </w:rPr>
        <w:t>202</w:t>
      </w:r>
      <w:r>
        <w:rPr>
          <w:rFonts w:ascii="宋体" w:hAnsi="宋体"/>
          <w:b/>
          <w:sz w:val="52"/>
          <w:szCs w:val="52"/>
        </w:rPr>
        <w:t>1</w:t>
      </w:r>
      <w:r>
        <w:rPr>
          <w:rFonts w:hint="eastAsia" w:ascii="宋体" w:hAnsi="宋体"/>
          <w:b/>
          <w:sz w:val="52"/>
          <w:szCs w:val="52"/>
        </w:rPr>
        <w:t>年度部门决算</w:t>
      </w:r>
    </w:p>
    <w:p>
      <w:pPr>
        <w:spacing w:line="480" w:lineRule="auto"/>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盘锦市商贸物流基地建设服务中心概况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主要职责及机构设置情况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盘锦市商贸物流基地建设服务中心202</w:t>
      </w:r>
      <w:r>
        <w:rPr>
          <w:rFonts w:ascii="黑体" w:hAnsi="黑体" w:eastAsia="黑体"/>
          <w:sz w:val="32"/>
          <w:szCs w:val="32"/>
        </w:rPr>
        <w:t>1</w:t>
      </w:r>
      <w:r>
        <w:rPr>
          <w:rFonts w:hint="eastAsia" w:ascii="黑体" w:hAnsi="黑体" w:eastAsia="黑体"/>
          <w:sz w:val="32"/>
          <w:szCs w:val="32"/>
        </w:rPr>
        <w:t>年度决算情况说明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numPr>
          <w:numId w:val="0"/>
        </w:numPr>
        <w:spacing w:line="540" w:lineRule="exact"/>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盘锦市商贸物流基地建设服务中心202</w:t>
      </w:r>
      <w:r>
        <w:rPr>
          <w:rFonts w:ascii="黑体" w:hAnsi="黑体" w:eastAsia="黑体"/>
          <w:sz w:val="32"/>
          <w:szCs w:val="32"/>
        </w:rPr>
        <w:t>1</w:t>
      </w:r>
      <w:r>
        <w:rPr>
          <w:rFonts w:hint="eastAsia" w:ascii="黑体" w:hAnsi="黑体" w:eastAsia="黑体"/>
          <w:sz w:val="32"/>
          <w:szCs w:val="32"/>
        </w:rPr>
        <w:t>年度决算报表</w:t>
      </w:r>
    </w:p>
    <w:p>
      <w:pPr>
        <w:spacing w:line="540" w:lineRule="exact"/>
        <w:ind w:left="320" w:hanging="320" w:hangingChars="1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二、202</w:t>
      </w:r>
      <w:r>
        <w:rPr>
          <w:rFonts w:ascii="仿宋_GB2312" w:eastAsia="仿宋_GB2312"/>
          <w:sz w:val="32"/>
          <w:szCs w:val="32"/>
        </w:rPr>
        <w:t>1</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三、202</w:t>
      </w:r>
      <w:r>
        <w:rPr>
          <w:rFonts w:ascii="仿宋_GB2312" w:eastAsia="仿宋_GB2312"/>
          <w:sz w:val="32"/>
          <w:szCs w:val="32"/>
        </w:rPr>
        <w:t>1</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1年度</w:t>
      </w:r>
      <w:r>
        <w:rPr>
          <w:rFonts w:hint="eastAsia" w:ascii="仿宋_GB2312" w:eastAsia="仿宋_GB2312"/>
          <w:sz w:val="32"/>
          <w:szCs w:val="32"/>
        </w:rPr>
        <w:t>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1年度政府性基金预算财政拨款支出决算表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仿宋_GB2312" w:eastAsia="仿宋_GB2312"/>
          <w:sz w:val="32"/>
          <w:szCs w:val="32"/>
        </w:rPr>
      </w:pPr>
      <w:r>
        <w:rPr>
          <w:rFonts w:hint="eastAsia" w:ascii="仿宋_GB2312" w:eastAsia="仿宋_GB2312"/>
          <w:sz w:val="32"/>
          <w:szCs w:val="32"/>
        </w:rPr>
        <w:t>九、202</w:t>
      </w:r>
      <w:r>
        <w:rPr>
          <w:rFonts w:ascii="仿宋_GB2312" w:eastAsia="仿宋_GB2312"/>
          <w:sz w:val="32"/>
          <w:szCs w:val="32"/>
        </w:rPr>
        <w:t>1</w:t>
      </w:r>
      <w:r>
        <w:rPr>
          <w:rFonts w:hint="eastAsia" w:ascii="仿宋_GB2312" w:eastAsia="仿宋_GB2312"/>
          <w:sz w:val="32"/>
          <w:szCs w:val="32"/>
        </w:rPr>
        <w:t>年度国有资本经营预算财政拨款支出决算表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ind w:firstLine="723" w:firstLineChars="200"/>
        <w:rPr>
          <w:rFonts w:ascii="宋体" w:hAnsi="宋体"/>
          <w:b/>
          <w:sz w:val="36"/>
          <w:szCs w:val="36"/>
        </w:rPr>
      </w:pPr>
      <w:r>
        <w:rPr>
          <w:rFonts w:hint="eastAsia" w:ascii="宋体" w:hAnsi="宋体"/>
          <w:b/>
          <w:sz w:val="36"/>
          <w:szCs w:val="36"/>
        </w:rPr>
        <w:t>第一部分 盘锦市商贸物流基地建设服务中心概况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一、主要职责及机构设置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pPr>
        <w:spacing w:line="540" w:lineRule="exact"/>
        <w:ind w:firstLine="640" w:firstLineChars="200"/>
        <w:jc w:val="left"/>
        <w:rPr>
          <w:rFonts w:ascii="黑体" w:eastAsia="黑体"/>
          <w:sz w:val="32"/>
          <w:szCs w:val="32"/>
        </w:rPr>
      </w:pPr>
      <w:r>
        <w:rPr>
          <w:rFonts w:hint="eastAsia" w:ascii="黑体" w:eastAsia="黑体"/>
          <w:sz w:val="32"/>
          <w:szCs w:val="32"/>
        </w:rPr>
        <w:t>机构设置情况</w:t>
      </w:r>
    </w:p>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根据本部门主要职责，内设机构如下：</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人员编制11名，科长职数1名、副科长职数2名。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本部门没有下属二级单位</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bCs/>
          <w:sz w:val="32"/>
          <w:szCs w:val="32"/>
        </w:rPr>
        <w:t>纳入盘锦市商贸物流基地建设服务中心202</w:t>
      </w:r>
      <w:r>
        <w:rPr>
          <w:rFonts w:ascii="仿宋" w:hAnsi="仿宋" w:eastAsia="仿宋" w:cs="仿宋"/>
          <w:bCs/>
          <w:sz w:val="32"/>
          <w:szCs w:val="32"/>
        </w:rPr>
        <w:t>1</w:t>
      </w:r>
      <w:r>
        <w:rPr>
          <w:rFonts w:hint="eastAsia" w:ascii="仿宋" w:hAnsi="仿宋" w:eastAsia="仿宋" w:cs="仿宋"/>
          <w:bCs/>
          <w:sz w:val="32"/>
          <w:szCs w:val="32"/>
        </w:rPr>
        <w:t>年度部门决算编制范围的预算单位包括：</w:t>
      </w:r>
      <w:r>
        <w:rPr>
          <w:rFonts w:hint="eastAsia" w:ascii="仿宋" w:hAnsi="仿宋" w:eastAsia="仿宋" w:cs="仿宋"/>
          <w:sz w:val="32"/>
          <w:szCs w:val="32"/>
        </w:rPr>
        <w:t>盘锦市商贸物流基地建设服务中心</w:t>
      </w:r>
      <w:r>
        <w:rPr>
          <w:rFonts w:hint="eastAsia" w:ascii="仿宋" w:hAnsi="仿宋" w:eastAsia="仿宋" w:cs="仿宋"/>
          <w:sz w:val="32"/>
          <w:szCs w:val="32"/>
          <w:lang w:eastAsia="zh-CN"/>
        </w:rPr>
        <w:t>一户单位</w:t>
      </w:r>
    </w:p>
    <w:p>
      <w:pPr>
        <w:spacing w:line="540" w:lineRule="exact"/>
        <w:ind w:firstLine="640" w:firstLineChars="200"/>
        <w:jc w:val="left"/>
        <w:rPr>
          <w:rFonts w:ascii="仿宋" w:hAnsi="仿宋" w:eastAsia="仿宋" w:cs="仿宋"/>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1084" w:firstLineChars="300"/>
        <w:rPr>
          <w:rFonts w:ascii="宋体" w:hAnsi="宋体"/>
          <w:b/>
          <w:sz w:val="36"/>
          <w:szCs w:val="36"/>
        </w:rPr>
      </w:pPr>
    </w:p>
    <w:p>
      <w:pPr>
        <w:spacing w:line="540" w:lineRule="exact"/>
        <w:ind w:firstLine="1084" w:firstLineChars="300"/>
        <w:rPr>
          <w:rFonts w:ascii="宋体" w:hAnsi="宋体"/>
          <w:b/>
          <w:sz w:val="36"/>
          <w:szCs w:val="36"/>
        </w:rPr>
      </w:pPr>
    </w:p>
    <w:p>
      <w:pPr>
        <w:spacing w:line="540" w:lineRule="exact"/>
        <w:ind w:firstLine="1084" w:firstLineChars="300"/>
        <w:rPr>
          <w:rFonts w:ascii="宋体" w:hAnsi="宋体"/>
          <w:b/>
          <w:sz w:val="36"/>
          <w:szCs w:val="36"/>
        </w:rPr>
      </w:pPr>
    </w:p>
    <w:p>
      <w:pPr>
        <w:spacing w:line="540" w:lineRule="exact"/>
        <w:ind w:firstLine="1084" w:firstLineChars="300"/>
        <w:rPr>
          <w:rFonts w:ascii="宋体" w:hAnsi="宋体"/>
          <w:b/>
          <w:sz w:val="36"/>
          <w:szCs w:val="36"/>
        </w:rPr>
      </w:pPr>
    </w:p>
    <w:p>
      <w:pPr>
        <w:spacing w:line="540" w:lineRule="exact"/>
        <w:ind w:firstLine="1084" w:firstLineChars="300"/>
        <w:rPr>
          <w:rFonts w:ascii="宋体" w:hAnsi="宋体"/>
          <w:b/>
          <w:sz w:val="36"/>
          <w:szCs w:val="36"/>
        </w:rPr>
      </w:pPr>
    </w:p>
    <w:p>
      <w:pPr>
        <w:spacing w:line="540" w:lineRule="exact"/>
        <w:ind w:firstLine="1084" w:firstLineChars="300"/>
        <w:rPr>
          <w:rFonts w:ascii="宋体" w:hAnsi="宋体"/>
          <w:b/>
          <w:sz w:val="36"/>
          <w:szCs w:val="36"/>
        </w:rPr>
      </w:pPr>
    </w:p>
    <w:p>
      <w:pPr>
        <w:spacing w:line="540" w:lineRule="exact"/>
        <w:ind w:left="3607" w:leftChars="513" w:hanging="2530" w:hangingChars="700"/>
        <w:rPr>
          <w:rFonts w:ascii="宋体" w:hAnsi="宋体"/>
          <w:b/>
          <w:sz w:val="36"/>
          <w:szCs w:val="36"/>
        </w:rPr>
      </w:pPr>
      <w:r>
        <w:rPr>
          <w:rFonts w:hint="eastAsia" w:ascii="宋体" w:hAnsi="宋体"/>
          <w:b/>
          <w:sz w:val="36"/>
          <w:szCs w:val="36"/>
        </w:rPr>
        <w:t>第二部分  盘锦市商贸物流基地建设服务中心202</w:t>
      </w:r>
      <w:r>
        <w:rPr>
          <w:rFonts w:ascii="宋体" w:hAnsi="宋体"/>
          <w:b/>
          <w:sz w:val="36"/>
          <w:szCs w:val="36"/>
        </w:rPr>
        <w:t>1</w:t>
      </w:r>
      <w:r>
        <w:rPr>
          <w:rFonts w:hint="eastAsia" w:ascii="宋体" w:hAnsi="宋体"/>
          <w:b/>
          <w:sz w:val="36"/>
          <w:szCs w:val="36"/>
        </w:rPr>
        <w:t>年度部门决算情况说明</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ind w:firstLine="640" w:firstLineChars="200"/>
        <w:jc w:val="left"/>
        <w:rPr>
          <w:rFonts w:ascii="仿宋_GB2312" w:eastAsia="仿宋_GB2312"/>
          <w:sz w:val="32"/>
          <w:szCs w:val="32"/>
        </w:rPr>
      </w:pP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rPr>
        <w:t>（</w:t>
      </w:r>
      <w:r>
        <w:rPr>
          <w:rFonts w:hint="eastAsia" w:ascii="楷体_GB2312" w:hAnsi="宋体" w:eastAsia="楷体_GB2312"/>
          <w:b/>
          <w:sz w:val="32"/>
          <w:szCs w:val="32"/>
          <w:highlight w:val="none"/>
        </w:rPr>
        <w:t>一）收入总计</w:t>
      </w:r>
      <w:r>
        <w:rPr>
          <w:rFonts w:ascii="楷体_GB2312" w:hAnsi="宋体" w:eastAsia="楷体_GB2312"/>
          <w:b/>
          <w:sz w:val="32"/>
          <w:szCs w:val="32"/>
          <w:highlight w:val="none"/>
        </w:rPr>
        <w:t>648.34</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1.财政拨款收入6</w:t>
      </w:r>
      <w:r>
        <w:rPr>
          <w:rFonts w:ascii="仿宋_GB2312" w:hAnsi="宋体" w:eastAsia="仿宋_GB2312"/>
          <w:sz w:val="32"/>
          <w:szCs w:val="32"/>
          <w:highlight w:val="none"/>
        </w:rPr>
        <w:t>32.23</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收入总计的97.51%</w:t>
      </w:r>
      <w:r>
        <w:rPr>
          <w:rFonts w:hint="eastAsia" w:ascii="仿宋_GB2312" w:hAnsi="宋体" w:eastAsia="仿宋_GB2312"/>
          <w:sz w:val="32"/>
          <w:szCs w:val="32"/>
          <w:highlight w:val="none"/>
        </w:rPr>
        <w:t>。其中：一般公共预算财政拨款收入</w:t>
      </w:r>
      <w:r>
        <w:rPr>
          <w:rFonts w:ascii="仿宋_GB2312" w:hAnsi="宋体" w:eastAsia="仿宋_GB2312"/>
          <w:sz w:val="32"/>
          <w:szCs w:val="32"/>
          <w:highlight w:val="none"/>
        </w:rPr>
        <w:t>632.2</w:t>
      </w:r>
      <w:r>
        <w:rPr>
          <w:rFonts w:hint="eastAsia" w:ascii="仿宋_GB2312" w:hAnsi="宋体" w:eastAsia="仿宋_GB2312"/>
          <w:sz w:val="32"/>
          <w:szCs w:val="32"/>
          <w:highlight w:val="none"/>
        </w:rPr>
        <w:t>万元，政府性基金收入0万元，国有资本经营预算财政拨款收入0万元。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2.上级补助收入0万元，占收入总计的0%。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3.事业收入0万元，占收入总计的0%。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5.附属单位上缴收入0万元，占收入总计的0%。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7.用事业基金弥补收支差额0万元，占收入总计的0%。</w:t>
      </w:r>
    </w:p>
    <w:p>
      <w:pPr>
        <w:spacing w:line="540" w:lineRule="exact"/>
        <w:ind w:firstLine="660"/>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8.上年结转和结余</w:t>
      </w:r>
      <w:r>
        <w:rPr>
          <w:rFonts w:ascii="仿宋_GB2312" w:hAnsi="宋体" w:eastAsia="仿宋_GB2312"/>
          <w:sz w:val="32"/>
          <w:szCs w:val="32"/>
          <w:highlight w:val="none"/>
        </w:rPr>
        <w:t>16.11</w:t>
      </w:r>
      <w:r>
        <w:rPr>
          <w:rFonts w:hint="eastAsia" w:ascii="仿宋_GB2312" w:hAnsi="宋体" w:eastAsia="仿宋_GB2312"/>
          <w:sz w:val="32"/>
          <w:szCs w:val="32"/>
          <w:highlight w:val="none"/>
        </w:rPr>
        <w:t>万元，占收入总计的</w:t>
      </w:r>
      <w:r>
        <w:rPr>
          <w:rFonts w:ascii="仿宋_GB2312" w:hAnsi="宋体" w:eastAsia="仿宋_GB2312"/>
          <w:sz w:val="32"/>
          <w:szCs w:val="32"/>
          <w:highlight w:val="none"/>
        </w:rPr>
        <w:t>2.5</w:t>
      </w:r>
      <w:r>
        <w:rPr>
          <w:rFonts w:hint="eastAsia" w:ascii="仿宋_GB2312" w:hAnsi="宋体" w:eastAsia="仿宋_GB2312"/>
          <w:sz w:val="32"/>
          <w:szCs w:val="32"/>
          <w:highlight w:val="none"/>
        </w:rPr>
        <w:t>%。主要是</w:t>
      </w:r>
      <w:r>
        <w:rPr>
          <w:rFonts w:hint="eastAsia" w:ascii="仿宋_GB2312" w:hAnsi="仿宋_GB2312" w:eastAsia="仿宋_GB2312" w:cs="仿宋_GB2312"/>
          <w:sz w:val="32"/>
          <w:szCs w:val="32"/>
          <w:highlight w:val="none"/>
        </w:rPr>
        <w:t>本级结转单位基本支出经费等。</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与上年相比，今年收入减少124.15万元，减少16.07%，主要原因：原对外友好属于自收自支单位已纳入财政预算。</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ascii="楷体_GB2312" w:hAnsi="宋体" w:eastAsia="楷体_GB2312"/>
          <w:b/>
          <w:sz w:val="32"/>
          <w:szCs w:val="32"/>
          <w:highlight w:val="none"/>
        </w:rPr>
        <w:t>646.56</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ascii="仿宋_GB2312" w:hAnsi="宋体" w:eastAsia="仿宋_GB2312"/>
          <w:sz w:val="32"/>
          <w:szCs w:val="32"/>
          <w:highlight w:val="none"/>
        </w:rPr>
        <w:t>624.31</w:t>
      </w:r>
      <w:r>
        <w:rPr>
          <w:rFonts w:hint="eastAsia" w:ascii="仿宋_GB2312" w:hAnsi="宋体" w:eastAsia="仿宋_GB2312"/>
          <w:sz w:val="32"/>
          <w:szCs w:val="32"/>
          <w:highlight w:val="none"/>
        </w:rPr>
        <w:t>万元，占支出总计的96.</w:t>
      </w:r>
      <w:r>
        <w:rPr>
          <w:rFonts w:ascii="仿宋_GB2312" w:hAnsi="宋体" w:eastAsia="仿宋_GB2312"/>
          <w:sz w:val="32"/>
          <w:szCs w:val="32"/>
          <w:highlight w:val="none"/>
        </w:rPr>
        <w:t>56</w:t>
      </w:r>
      <w:r>
        <w:rPr>
          <w:rFonts w:hint="eastAsia" w:ascii="仿宋_GB2312" w:hAnsi="宋体" w:eastAsia="仿宋_GB2312"/>
          <w:sz w:val="32"/>
          <w:szCs w:val="32"/>
          <w:highlight w:val="none"/>
        </w:rPr>
        <w:t>%。主要是为保障机构正常运转、完成日常工作任务而发生的各项支出，其中：工资福利支出</w:t>
      </w:r>
      <w:r>
        <w:rPr>
          <w:rFonts w:ascii="仿宋_GB2312" w:hAnsi="宋体" w:eastAsia="仿宋_GB2312"/>
          <w:sz w:val="32"/>
          <w:szCs w:val="32"/>
          <w:highlight w:val="none"/>
        </w:rPr>
        <w:t>564.32</w:t>
      </w:r>
      <w:r>
        <w:rPr>
          <w:rFonts w:hint="eastAsia" w:ascii="仿宋_GB2312" w:hAnsi="宋体" w:eastAsia="仿宋_GB2312"/>
          <w:sz w:val="32"/>
          <w:szCs w:val="32"/>
          <w:highlight w:val="none"/>
        </w:rPr>
        <w:t>万元，对个人和家庭的补助支出</w:t>
      </w:r>
      <w:r>
        <w:rPr>
          <w:rFonts w:eastAsia="仿宋_GB2312" w:asciiTheme="minorHAnsi" w:hAnsiTheme="minorHAnsi"/>
          <w:sz w:val="32"/>
          <w:szCs w:val="32"/>
          <w:highlight w:val="none"/>
        </w:rPr>
        <w:t>2</w:t>
      </w:r>
      <w:r>
        <w:rPr>
          <w:rFonts w:ascii="仿宋_GB2312" w:hAnsi="宋体" w:eastAsia="仿宋_GB2312"/>
          <w:sz w:val="32"/>
          <w:szCs w:val="32"/>
          <w:highlight w:val="none"/>
        </w:rPr>
        <w:t>.75</w:t>
      </w:r>
      <w:r>
        <w:rPr>
          <w:rFonts w:hint="eastAsia" w:ascii="仿宋_GB2312" w:hAnsi="宋体" w:eastAsia="仿宋_GB2312"/>
          <w:sz w:val="32"/>
          <w:szCs w:val="32"/>
          <w:highlight w:val="none"/>
        </w:rPr>
        <w:t>万元，商品和服务支出</w:t>
      </w:r>
      <w:r>
        <w:rPr>
          <w:rFonts w:ascii="仿宋_GB2312" w:hAnsi="宋体" w:eastAsia="仿宋_GB2312"/>
          <w:sz w:val="32"/>
          <w:szCs w:val="32"/>
          <w:highlight w:val="none"/>
        </w:rPr>
        <w:t>57.03</w:t>
      </w:r>
      <w:r>
        <w:rPr>
          <w:rFonts w:hint="eastAsia" w:ascii="仿宋_GB2312" w:hAnsi="宋体" w:eastAsia="仿宋_GB2312"/>
          <w:sz w:val="32"/>
          <w:szCs w:val="32"/>
          <w:highlight w:val="none"/>
        </w:rPr>
        <w:t>万元，资本性支出</w:t>
      </w:r>
      <w:r>
        <w:rPr>
          <w:rFonts w:ascii="仿宋_GB2312" w:hAnsi="宋体" w:eastAsia="仿宋_GB2312"/>
          <w:sz w:val="32"/>
          <w:szCs w:val="32"/>
          <w:highlight w:val="none"/>
        </w:rPr>
        <w:t>0.21</w:t>
      </w:r>
      <w:r>
        <w:rPr>
          <w:rFonts w:hint="eastAsia" w:ascii="仿宋_GB2312" w:hAnsi="宋体" w:eastAsia="仿宋_GB2312"/>
          <w:sz w:val="32"/>
          <w:szCs w:val="32"/>
          <w:highlight w:val="none"/>
        </w:rPr>
        <w:t>万元 。</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ascii="仿宋_GB2312" w:hAnsi="宋体" w:eastAsia="仿宋_GB2312"/>
          <w:sz w:val="32"/>
          <w:szCs w:val="32"/>
          <w:highlight w:val="none"/>
        </w:rPr>
        <w:t>22.25</w:t>
      </w:r>
      <w:r>
        <w:rPr>
          <w:rFonts w:hint="eastAsia" w:ascii="仿宋_GB2312" w:hAnsi="宋体" w:eastAsia="仿宋_GB2312"/>
          <w:sz w:val="32"/>
          <w:szCs w:val="32"/>
          <w:highlight w:val="none"/>
        </w:rPr>
        <w:t>万元，占支出总计的3.</w:t>
      </w:r>
      <w:r>
        <w:rPr>
          <w:rFonts w:ascii="仿宋_GB2312" w:hAnsi="宋体" w:eastAsia="仿宋_GB2312"/>
          <w:sz w:val="32"/>
          <w:szCs w:val="32"/>
          <w:highlight w:val="none"/>
        </w:rPr>
        <w:t>44</w:t>
      </w:r>
      <w:r>
        <w:rPr>
          <w:rFonts w:hint="eastAsia" w:ascii="仿宋_GB2312" w:hAnsi="宋体" w:eastAsia="仿宋_GB2312"/>
          <w:sz w:val="32"/>
          <w:szCs w:val="32"/>
          <w:highlight w:val="none"/>
        </w:rPr>
        <w:t>%。主要包括一带一路物流基地建设工作经费等业务支出。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5.对附属单位补助支出0万元，占支出总计的0%。</w:t>
      </w:r>
    </w:p>
    <w:p>
      <w:pPr>
        <w:spacing w:line="540" w:lineRule="exact"/>
        <w:ind w:firstLine="660"/>
        <w:rPr>
          <w:rFonts w:ascii="仿宋" w:hAnsi="仿宋" w:eastAsia="仿宋" w:cs="仿宋"/>
          <w:sz w:val="32"/>
          <w:highlight w:val="none"/>
        </w:rPr>
      </w:pPr>
      <w:r>
        <w:rPr>
          <w:rFonts w:hint="eastAsia" w:ascii="仿宋_GB2312" w:hAnsi="宋体" w:eastAsia="仿宋_GB2312"/>
          <w:sz w:val="32"/>
          <w:szCs w:val="32"/>
          <w:highlight w:val="none"/>
        </w:rPr>
        <w:t>与上年相比，今年支出</w:t>
      </w:r>
      <w:r>
        <w:rPr>
          <w:rFonts w:hint="eastAsia" w:eastAsia="仿宋_GB2312" w:asciiTheme="minorHAnsi" w:hAnsiTheme="minorHAnsi"/>
          <w:sz w:val="32"/>
          <w:szCs w:val="32"/>
          <w:highlight w:val="none"/>
        </w:rPr>
        <w:t>减少</w:t>
      </w:r>
      <w:r>
        <w:rPr>
          <w:rFonts w:hint="eastAsia" w:ascii="仿宋_GB2312" w:hAnsi="宋体" w:eastAsia="仿宋_GB2312"/>
          <w:sz w:val="32"/>
          <w:szCs w:val="32"/>
          <w:highlight w:val="none"/>
        </w:rPr>
        <w:t>88.07万元，降低11.98%，主要原因：</w:t>
      </w:r>
      <w:r>
        <w:rPr>
          <w:rFonts w:hint="eastAsia" w:ascii="仿宋" w:hAnsi="仿宋" w:eastAsia="仿宋" w:cs="仿宋"/>
          <w:sz w:val="32"/>
          <w:highlight w:val="none"/>
        </w:rPr>
        <w:t>对外友好人员工资及保险各项费用已纳入预算。</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1.78</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主要是基本支出及项目款形成的结余。与上年相比，今年结转结余减少</w:t>
      </w:r>
      <w:r>
        <w:rPr>
          <w:rFonts w:hint="eastAsia" w:ascii="仿宋_GB2312" w:hAnsi="宋体" w:eastAsia="仿宋_GB2312"/>
          <w:sz w:val="32"/>
          <w:szCs w:val="32"/>
          <w:highlight w:val="none"/>
          <w:lang w:val="en-US" w:eastAsia="zh-CN"/>
        </w:rPr>
        <w:t>36.08</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95.3</w:t>
      </w:r>
      <w:r>
        <w:rPr>
          <w:rFonts w:hint="eastAsia" w:ascii="仿宋_GB2312" w:hAnsi="宋体" w:eastAsia="仿宋_GB2312"/>
          <w:sz w:val="32"/>
          <w:szCs w:val="32"/>
          <w:highlight w:val="none"/>
        </w:rPr>
        <w:t>%，主要原因：项目招商出差减少。</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ascii="仿宋" w:hAnsi="仿宋" w:eastAsia="仿宋" w:cs="仿宋"/>
          <w:sz w:val="32"/>
          <w:highlight w:val="none"/>
        </w:rPr>
      </w:pPr>
      <w:r>
        <w:rPr>
          <w:rFonts w:hint="eastAsia" w:ascii="仿宋_GB2312" w:hAnsi="宋体" w:eastAsia="仿宋_GB2312"/>
          <w:sz w:val="32"/>
          <w:szCs w:val="32"/>
          <w:highlight w:val="none"/>
        </w:rPr>
        <w:t>2021年度财政拨款支出646.56万元，其中：基本支出624.31万元，项目支出22.25万元。与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财政拨款支出减少88.07万元，降低11.98%，主要原因</w:t>
      </w:r>
      <w:r>
        <w:rPr>
          <w:rFonts w:hint="eastAsia" w:ascii="仿宋" w:hAnsi="仿宋" w:eastAsia="仿宋" w:cs="仿宋"/>
          <w:sz w:val="32"/>
          <w:szCs w:val="32"/>
          <w:highlight w:val="none"/>
        </w:rPr>
        <w:t>：</w:t>
      </w:r>
      <w:r>
        <w:rPr>
          <w:rFonts w:hint="eastAsia" w:ascii="仿宋" w:hAnsi="仿宋" w:eastAsia="仿宋" w:cs="仿宋"/>
          <w:sz w:val="32"/>
          <w:highlight w:val="none"/>
        </w:rPr>
        <w:t>对外友好人员工资及保险各项费用已纳入预算。</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与年初预算相比，2021财政拨款支出完成年初预算的125.34%，其中：基本支出完成年初预算的121.03%，项目完成年初预算的4.31%。</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（二）一般公共预算财政拨款支出情况。</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2021年度一般公共预算财政拨款支出646.56万元，按支出功能分类科目分，包括：社会保障和就业支出</w:t>
      </w:r>
      <w:r>
        <w:rPr>
          <w:rFonts w:ascii="仿宋_GB2312" w:hAnsi="宋体" w:eastAsia="仿宋_GB2312"/>
          <w:sz w:val="32"/>
          <w:szCs w:val="32"/>
          <w:highlight w:val="none"/>
        </w:rPr>
        <w:t>55.81</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8.63</w:t>
      </w:r>
      <w:r>
        <w:rPr>
          <w:rFonts w:hint="eastAsia" w:ascii="仿宋_GB2312" w:hAnsi="宋体" w:eastAsia="仿宋_GB2312"/>
          <w:sz w:val="32"/>
          <w:szCs w:val="32"/>
          <w:highlight w:val="none"/>
        </w:rPr>
        <w:t>%；卫生健康支出</w:t>
      </w:r>
      <w:r>
        <w:rPr>
          <w:rFonts w:ascii="仿宋_GB2312" w:hAnsi="宋体" w:eastAsia="仿宋_GB2312"/>
          <w:sz w:val="32"/>
          <w:szCs w:val="32"/>
          <w:highlight w:val="none"/>
        </w:rPr>
        <w:t>22.57</w:t>
      </w:r>
      <w:r>
        <w:rPr>
          <w:rFonts w:hint="eastAsia" w:ascii="仿宋_GB2312" w:hAnsi="宋体" w:eastAsia="仿宋_GB2312"/>
          <w:sz w:val="32"/>
          <w:szCs w:val="32"/>
          <w:highlight w:val="none"/>
        </w:rPr>
        <w:t>万元，占3.</w:t>
      </w:r>
      <w:r>
        <w:rPr>
          <w:rFonts w:ascii="仿宋_GB2312" w:hAnsi="宋体" w:eastAsia="仿宋_GB2312"/>
          <w:sz w:val="32"/>
          <w:szCs w:val="32"/>
          <w:highlight w:val="none"/>
        </w:rPr>
        <w:t>49</w:t>
      </w:r>
      <w:r>
        <w:rPr>
          <w:rFonts w:hint="eastAsia" w:ascii="仿宋_GB2312" w:hAnsi="宋体" w:eastAsia="仿宋_GB2312"/>
          <w:sz w:val="32"/>
          <w:szCs w:val="32"/>
          <w:highlight w:val="none"/>
        </w:rPr>
        <w:t>%；住房保障支出</w:t>
      </w:r>
      <w:r>
        <w:rPr>
          <w:rFonts w:ascii="仿宋_GB2312" w:hAnsi="宋体" w:eastAsia="仿宋_GB2312"/>
          <w:sz w:val="32"/>
          <w:szCs w:val="32"/>
          <w:highlight w:val="none"/>
        </w:rPr>
        <w:t>36.68</w:t>
      </w:r>
      <w:r>
        <w:rPr>
          <w:rFonts w:hint="eastAsia" w:ascii="仿宋_GB2312" w:hAnsi="宋体" w:eastAsia="仿宋_GB2312"/>
          <w:sz w:val="32"/>
          <w:szCs w:val="32"/>
          <w:highlight w:val="none"/>
        </w:rPr>
        <w:t>万元，占5.</w:t>
      </w:r>
      <w:r>
        <w:rPr>
          <w:rFonts w:ascii="仿宋_GB2312" w:hAnsi="宋体" w:eastAsia="仿宋_GB2312"/>
          <w:sz w:val="32"/>
          <w:szCs w:val="32"/>
          <w:highlight w:val="none"/>
        </w:rPr>
        <w:t>67</w:t>
      </w:r>
      <w:r>
        <w:rPr>
          <w:rFonts w:hint="eastAsia" w:ascii="仿宋_GB2312" w:hAnsi="宋体" w:eastAsia="仿宋_GB2312"/>
          <w:sz w:val="32"/>
          <w:szCs w:val="32"/>
          <w:highlight w:val="none"/>
        </w:rPr>
        <w:t>%；商业服务业等支出</w:t>
      </w:r>
      <w:r>
        <w:rPr>
          <w:rFonts w:ascii="仿宋_GB2312" w:hAnsi="宋体" w:eastAsia="仿宋_GB2312"/>
          <w:sz w:val="32"/>
          <w:szCs w:val="32"/>
          <w:highlight w:val="none"/>
        </w:rPr>
        <w:t>530.17</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81.99</w:t>
      </w:r>
      <w:r>
        <w:rPr>
          <w:rFonts w:hint="eastAsia" w:ascii="仿宋_GB2312" w:hAnsi="宋体" w:eastAsia="仿宋_GB2312"/>
          <w:sz w:val="32"/>
          <w:szCs w:val="32"/>
          <w:highlight w:val="none"/>
        </w:rPr>
        <w:t>%。</w:t>
      </w:r>
      <w:r>
        <w:rPr>
          <w:rFonts w:hint="eastAsia" w:eastAsia="仿宋_GB2312" w:asciiTheme="minorHAnsi" w:hAnsiTheme="minorHAnsi"/>
          <w:sz w:val="32"/>
          <w:szCs w:val="32"/>
          <w:highlight w:val="none"/>
        </w:rPr>
        <w:t>其他支</w:t>
      </w:r>
      <w:r>
        <w:rPr>
          <w:rFonts w:hint="eastAsia" w:ascii="仿宋_GB2312" w:hAnsi="宋体" w:eastAsia="仿宋_GB2312"/>
          <w:sz w:val="32"/>
          <w:szCs w:val="32"/>
          <w:highlight w:val="none"/>
        </w:rPr>
        <w:t>出1.32万元。占0.20%。</w:t>
      </w:r>
    </w:p>
    <w:p>
      <w:pPr>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1.社会保障和就业支出55.81万元，完成年初预算的108.87%，决算数大于年初预算数的主要原因是2021年度新增人员，具体包括：</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（1）社会保障和就业支出（类）行政事业单位养老支出（款）事业单位离退休（项）1.05万元，主要是退休人员取暖费等支出，完成年初预算的</w:t>
      </w:r>
      <w:r>
        <w:rPr>
          <w:rFonts w:ascii="仿宋" w:hAnsi="仿宋" w:eastAsia="仿宋"/>
          <w:sz w:val="32"/>
          <w:szCs w:val="32"/>
          <w:highlight w:val="none"/>
        </w:rPr>
        <w:t>100</w:t>
      </w:r>
      <w:r>
        <w:rPr>
          <w:rFonts w:hint="eastAsia" w:ascii="仿宋" w:hAnsi="仿宋" w:eastAsia="仿宋"/>
          <w:sz w:val="32"/>
          <w:szCs w:val="32"/>
          <w:highlight w:val="none"/>
        </w:rPr>
        <w:t>%。</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w:t>
      </w:r>
      <w:bookmarkStart w:id="0" w:name="_Hlk83064745"/>
      <w:r>
        <w:rPr>
          <w:rFonts w:hint="eastAsia" w:ascii="仿宋" w:hAnsi="仿宋" w:eastAsia="仿宋"/>
          <w:sz w:val="32"/>
          <w:szCs w:val="32"/>
          <w:highlight w:val="none"/>
        </w:rPr>
        <w:t>社会保障和就业支出（类）行政事业单位养老支出（款）机关事业单位基本养老保险缴费支出（项）49.67万元，主要是职工养老保险缴费等支出，完成年初预算的99.63%，决算数大于年初预算数的原因主要是新增人员。</w:t>
      </w:r>
    </w:p>
    <w:bookmarkEnd w:id="0"/>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（3）社会保障和就业支出（类）抚恤（款）伤残抚恤（项）0.96万元，主要是退休人员伤残抚恤金等支出，完成年初预算的100%。</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（4）社会保障和就业支出（类）行政事业单位养老支出（款）机关事业单位职业年金缴费支出（项）2.67万元，主要是职工职业年金缴费等支出.</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社会保障和就业支出（类）其他社会保障和就业支出（款）其他社会保障和就业支出（项）1.46万元，主要是职工失业保险缴费等支出，完成年初预算的103.54%，决算数大于年初预算数的原因主要是新增人员失业保险缴费。</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.卫生健康支出22.57万元，包括：</w:t>
      </w:r>
    </w:p>
    <w:p>
      <w:pPr>
        <w:spacing w:line="540" w:lineRule="exact"/>
        <w:ind w:firstLine="660"/>
        <w:rPr>
          <w:rFonts w:ascii="仿宋_GB2312" w:hAnsi="宋体" w:eastAsia="仿宋_GB2312"/>
          <w:sz w:val="32"/>
          <w:szCs w:val="32"/>
          <w:highlight w:val="none"/>
        </w:rPr>
      </w:pPr>
      <w:r>
        <w:rPr>
          <w:rFonts w:hint="eastAsia" w:ascii="仿宋" w:hAnsi="仿宋" w:eastAsia="仿宋"/>
          <w:sz w:val="32"/>
          <w:szCs w:val="32"/>
          <w:highlight w:val="none"/>
        </w:rPr>
        <w:t>（1）卫生健康支出（类）行政事业单位医疗（款）事业单位医疗（项）21.75万元，主要是职工医疗保险缴费等支出，完成年初预算的98.14%，决算数大于年初预算数的原因主要</w:t>
      </w:r>
      <w:r>
        <w:rPr>
          <w:rFonts w:hint="eastAsia" w:ascii="仿宋_GB2312" w:hAnsi="宋体" w:eastAsia="仿宋_GB2312"/>
          <w:sz w:val="32"/>
          <w:szCs w:val="32"/>
          <w:highlight w:val="none"/>
        </w:rPr>
        <w:t>新增人员医疗保险。</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卫生健康支出（类）行政事业单位医疗（款）其他行政事业单位医疗支出（项）0.82万元，主要是职工大额医疗保险和工伤保险缴费等支出，完成年初预算的68.53%，决算数大于年初预算数的原因主要是新增人员</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.商业服务业等支出530.17万元，完成年初预算的130.07%，决算数大于预算数的原因是新增人员。其中：</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w:t>
      </w:r>
      <w:r>
        <w:rPr>
          <w:rFonts w:hint="eastAsia" w:ascii="仿宋" w:hAnsi="仿宋" w:eastAsia="仿宋"/>
          <w:sz w:val="32"/>
          <w:szCs w:val="32"/>
          <w:highlight w:val="none"/>
        </w:rPr>
        <w:t>商业服务业等支出（类）商业流通事务（款）事业运行（项）509.24万元，主要是单位的人员经费和公用经费。</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w:t>
      </w:r>
      <w:r>
        <w:rPr>
          <w:rFonts w:hint="eastAsia" w:ascii="仿宋" w:hAnsi="仿宋" w:eastAsia="仿宋"/>
          <w:sz w:val="32"/>
          <w:szCs w:val="32"/>
          <w:highlight w:val="none"/>
        </w:rPr>
        <w:t>商业服务业等支出（类）商业流通事务（款）其他商业流通事务支出（项）20.93万元，主要是单位的项目支出</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4.住房保障支出36.68万元，具体包括：</w:t>
      </w:r>
    </w:p>
    <w:p>
      <w:pPr>
        <w:spacing w:line="540" w:lineRule="exact"/>
        <w:ind w:firstLine="640" w:firstLineChars="200"/>
        <w:rPr>
          <w:rFonts w:hint="eastAsia" w:ascii="仿宋_GB2312" w:hAnsi="宋体" w:eastAsia="仿宋_GB2312"/>
          <w:sz w:val="32"/>
          <w:szCs w:val="32"/>
          <w:highlight w:val="none"/>
        </w:rPr>
      </w:pPr>
      <w:r>
        <w:rPr>
          <w:rFonts w:hint="eastAsia" w:ascii="仿宋" w:hAnsi="仿宋" w:eastAsia="仿宋"/>
          <w:sz w:val="32"/>
          <w:szCs w:val="32"/>
          <w:highlight w:val="none"/>
        </w:rPr>
        <w:t>（1）住房保障支出（类）住房改革支出（款）住房公积金（项）36.68万元，主要是职工住房公积金缴费等支出，完成年初预算的105.31%，</w:t>
      </w:r>
      <w:r>
        <w:rPr>
          <w:rFonts w:hint="eastAsia" w:ascii="仿宋_GB2312" w:hAnsi="宋体" w:eastAsia="仿宋_GB2312"/>
          <w:sz w:val="32"/>
          <w:szCs w:val="32"/>
          <w:highlight w:val="none"/>
        </w:rPr>
        <w:t>决算数大于年初预算数的原因主要是新增人员。</w:t>
      </w:r>
    </w:p>
    <w:p>
      <w:p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5.其他支出1.32万元（涉密）</w:t>
      </w:r>
    </w:p>
    <w:p>
      <w:pPr>
        <w:spacing w:line="540" w:lineRule="exact"/>
        <w:rPr>
          <w:rFonts w:ascii="仿宋_GB2312" w:hAnsi="宋体" w:eastAsia="仿宋_GB2312"/>
          <w:sz w:val="32"/>
          <w:szCs w:val="32"/>
          <w:highlight w:val="none"/>
        </w:rPr>
      </w:pPr>
    </w:p>
    <w:p>
      <w:pPr>
        <w:spacing w:line="540" w:lineRule="exact"/>
        <w:ind w:firstLine="660"/>
        <w:rPr>
          <w:rFonts w:ascii="仿宋" w:hAnsi="仿宋" w:eastAsia="仿宋"/>
          <w:b/>
          <w:sz w:val="32"/>
          <w:szCs w:val="32"/>
          <w:highlight w:val="none"/>
        </w:rPr>
      </w:pPr>
      <w:r>
        <w:rPr>
          <w:rFonts w:hint="eastAsia" w:ascii="仿宋" w:hAnsi="仿宋" w:eastAsia="仿宋"/>
          <w:b/>
          <w:sz w:val="32"/>
          <w:szCs w:val="32"/>
          <w:highlight w:val="none"/>
        </w:rPr>
        <w:t>（三）政府性基金预算财政拨款支出情况。</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2021年度政府性基金预算财政拨款支出0万元，本部门2021年度无政府性基金预算财政拨款支出，无此类资金收支余</w:t>
      </w:r>
    </w:p>
    <w:p>
      <w:pPr>
        <w:spacing w:line="540" w:lineRule="exact"/>
        <w:ind w:firstLine="660"/>
        <w:rPr>
          <w:rFonts w:ascii="仿宋" w:hAnsi="仿宋" w:eastAsia="仿宋"/>
          <w:b/>
          <w:sz w:val="32"/>
          <w:szCs w:val="32"/>
          <w:highlight w:val="none"/>
        </w:rPr>
      </w:pPr>
      <w:r>
        <w:rPr>
          <w:rFonts w:hint="eastAsia" w:ascii="仿宋" w:hAnsi="仿宋" w:eastAsia="仿宋"/>
          <w:b/>
          <w:sz w:val="32"/>
          <w:szCs w:val="32"/>
          <w:highlight w:val="none"/>
        </w:rPr>
        <w:t>（四）国有资本经营预算财政拨款支出情况。</w:t>
      </w:r>
    </w:p>
    <w:p>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2021年度国有资本经营预算财政拨款支出0万元，本部门2021年度无国有资本经营预算财政拨款支出，无此类资金收支余</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安排的“三公”经费支出8.40万元，完成年初预算的100%，决算数小于年初预算数的主要原因是公务车运行维护费减少。与上年相比，今年“三公”经费支出减少0.64万元，降低7.07%，主要原因：公务车运行维护费减少。</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其中：因公出国（境）费0万元，公务接待费0万元，公务用车购置及运行维护费8.40万元。</w:t>
      </w:r>
    </w:p>
    <w:p>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1.因公出国（境）费0万元，占“三公”经费支出的0%。决算数与年初预算数相等，均为0万元，主要原因是年初未做预算，本年未发生因公出国事项。2021年参加出国（境）团组0个，累计0人次，未参加任何团组。2021年因公出国（境）费比上年增加0万元，增长0%，主要原因是2021年和2020年本单位均为发生因公出国事项，无因公出国（境）支出。</w:t>
      </w:r>
    </w:p>
    <w:p>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2.公务接待费0万元，占“三公”经费支出的0%。决算数与年初预算数相等，均为0万元，主要原因是年初未做预算，本年未发生公务接待事项。2021年国内公务接待累计0批次、0人、0万元，无支出事项和用途；其中外事接待累计0批次、0人、0万元，无支出事项和用途。主要是本年无公务接待事宜支出。</w:t>
      </w:r>
    </w:p>
    <w:p>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highlight w:val="none"/>
        </w:rPr>
        <w:t xml:space="preserve"> </w:t>
      </w:r>
      <w:r>
        <w:rPr>
          <w:rFonts w:hint="eastAsia" w:ascii="仿宋" w:hAnsi="仿宋" w:eastAsia="仿宋"/>
          <w:sz w:val="32"/>
          <w:szCs w:val="32"/>
          <w:highlight w:val="none"/>
        </w:rPr>
        <w:t>公务用车购置及</w:t>
      </w:r>
      <w:r>
        <w:rPr>
          <w:rFonts w:ascii="仿宋" w:hAnsi="仿宋" w:eastAsia="仿宋"/>
          <w:sz w:val="32"/>
          <w:szCs w:val="32"/>
          <w:highlight w:val="none"/>
        </w:rPr>
        <w:t>运行费</w:t>
      </w:r>
      <w:r>
        <w:rPr>
          <w:rFonts w:hint="eastAsia" w:ascii="仿宋" w:hAnsi="仿宋" w:eastAsia="仿宋"/>
          <w:sz w:val="32"/>
          <w:szCs w:val="32"/>
          <w:highlight w:val="none"/>
        </w:rPr>
        <w:t>8.40万元，占“三公”经费支出的100%。完成年初预算的8</w:t>
      </w:r>
      <w:r>
        <w:rPr>
          <w:rFonts w:hint="eastAsia" w:ascii="仿宋" w:hAnsi="仿宋" w:eastAsia="仿宋"/>
          <w:sz w:val="32"/>
          <w:szCs w:val="32"/>
          <w:highlight w:val="none"/>
          <w:lang w:val="en-US" w:eastAsia="zh-CN"/>
        </w:rPr>
        <w:t>4.0</w:t>
      </w:r>
      <w:r>
        <w:rPr>
          <w:rFonts w:hint="eastAsia" w:ascii="仿宋" w:hAnsi="仿宋" w:eastAsia="仿宋"/>
          <w:sz w:val="32"/>
          <w:szCs w:val="32"/>
          <w:highlight w:val="none"/>
        </w:rPr>
        <w:t>%</w:t>
      </w:r>
      <w:r>
        <w:rPr>
          <w:rFonts w:hint="eastAsia" w:ascii="仿宋" w:hAnsi="仿宋" w:eastAsia="仿宋"/>
          <w:sz w:val="32"/>
          <w:szCs w:val="32"/>
          <w:highlight w:val="none"/>
        </w:rPr>
        <w:t>，决算数小于年初预算数的主要原因是厉行节约，严格执行公车使用规定。比上年减少0.64万元，下降7.07%，主要是本年公务用车核算减少。</w:t>
      </w:r>
    </w:p>
    <w:p>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其中：公务用车购置费0万元，本年未发生公务用车购置事项,当年购置公务用车0辆。公务用车运行维护8.40万元，主要用于公务用车车燃费等各项支出，截至年末使用</w:t>
      </w:r>
      <w:r>
        <w:rPr>
          <w:rFonts w:ascii="仿宋" w:hAnsi="仿宋" w:eastAsia="仿宋"/>
          <w:sz w:val="32"/>
          <w:szCs w:val="32"/>
          <w:highlight w:val="none"/>
        </w:rPr>
        <w:t>一般公共预算财政拨款开支</w:t>
      </w:r>
      <w:r>
        <w:rPr>
          <w:rFonts w:hint="eastAsia" w:ascii="仿宋" w:hAnsi="仿宋" w:eastAsia="仿宋"/>
          <w:sz w:val="32"/>
          <w:szCs w:val="32"/>
          <w:highlight w:val="none"/>
        </w:rPr>
        <w:t>运行维护费</w:t>
      </w:r>
      <w:r>
        <w:rPr>
          <w:rFonts w:ascii="仿宋" w:hAnsi="仿宋" w:eastAsia="仿宋"/>
          <w:sz w:val="32"/>
          <w:szCs w:val="32"/>
          <w:highlight w:val="none"/>
        </w:rPr>
        <w:t>的</w:t>
      </w:r>
      <w:r>
        <w:rPr>
          <w:rFonts w:hint="eastAsia" w:ascii="仿宋" w:hAnsi="仿宋" w:eastAsia="仿宋"/>
          <w:sz w:val="32"/>
          <w:szCs w:val="32"/>
          <w:highlight w:val="none"/>
        </w:rPr>
        <w:t>公务用车保有量2辆。</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2021年度一般公共预算财政拨款基本支出</w:t>
      </w:r>
      <w:r>
        <w:rPr>
          <w:rFonts w:hint="eastAsia" w:ascii="仿宋" w:hAnsi="仿宋" w:eastAsia="仿宋"/>
          <w:sz w:val="32"/>
          <w:szCs w:val="32"/>
          <w:highlight w:val="none"/>
          <w:lang w:val="en-US" w:eastAsia="zh-CN"/>
        </w:rPr>
        <w:t>624.31</w:t>
      </w:r>
      <w:r>
        <w:rPr>
          <w:rFonts w:hint="eastAsia" w:ascii="仿宋" w:hAnsi="仿宋" w:eastAsia="仿宋"/>
          <w:sz w:val="32"/>
          <w:szCs w:val="32"/>
          <w:highlight w:val="none"/>
        </w:rPr>
        <w:t>万元，其中：人员经费56</w:t>
      </w:r>
      <w:r>
        <w:rPr>
          <w:rFonts w:hint="eastAsia" w:ascii="仿宋" w:hAnsi="仿宋" w:eastAsia="仿宋"/>
          <w:sz w:val="32"/>
          <w:szCs w:val="32"/>
          <w:highlight w:val="none"/>
          <w:lang w:val="en-US" w:eastAsia="zh-CN"/>
        </w:rPr>
        <w:t>7.07</w:t>
      </w:r>
      <w:r>
        <w:rPr>
          <w:rFonts w:hint="eastAsia" w:ascii="仿宋" w:hAnsi="仿宋" w:eastAsia="仿宋"/>
          <w:sz w:val="32"/>
          <w:szCs w:val="32"/>
          <w:highlight w:val="none"/>
        </w:rPr>
        <w:t>万元，主要包括基本工资185.01万元、津贴补贴125.02万元、奖金137.33万元、机关事业单位基本养老保险缴费49.67万元、职工医疗保险缴费21.75万元、职业年金缴费2.67万元、其他社会保障缴费2.28万元、住房公积金36.68万元、其他工资福利支出3.91万元；对个人和家庭的补助2.75万元，主要包括退休费1.01万元、其他对个人和家庭补助0.78万元；抚血金0.96万元。日常公用经费57.24万元，主要包括办公费9.58万元、邮电费2.63万元、差旅费4.42万元、维护费4.27万元、工会经费6.01万元、印刷费0.55万元、手续费0.01万元、电费1.17万元、劳务费12.92万元、会议费0.42万元、其他交通费用3.63万元、公务用车维护费8.4万元、其他商品和服务支出3.02万元，资本性支出0.21万元，主要包括办公设备购置0.21万元。</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盘锦市商贸物流基地建设服务中心是事业单位，根据机关运行经费的概念，本部门</w:t>
      </w:r>
      <w:r>
        <w:rPr>
          <w:rFonts w:hint="eastAsia" w:ascii="仿宋_GB2312" w:hAnsi="黑体" w:eastAsia="仿宋_GB2312"/>
          <w:sz w:val="32"/>
          <w:szCs w:val="32"/>
          <w:highlight w:val="none"/>
          <w:lang w:val="en-US" w:eastAsia="zh-CN"/>
        </w:rPr>
        <w:t>2020、</w:t>
      </w:r>
      <w:r>
        <w:rPr>
          <w:rFonts w:hint="eastAsia" w:ascii="仿宋_GB2312" w:hAnsi="黑体" w:eastAsia="仿宋_GB2312"/>
          <w:sz w:val="32"/>
          <w:szCs w:val="32"/>
          <w:highlight w:val="none"/>
        </w:rPr>
        <w:t>2021年度无机关运行经费支出。</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hint="eastAsia" w:ascii="仿宋_GB2312"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截至2021年12月31日，部门房屋面积541.44平方米，价值80.96万元，其中：办公用房面积404.44平方米，价值60万元；业务用房面积0平方米，价值0万元；其他（不含构筑物）面积137平方米，价值20.96万元。</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共有车辆2辆，价值51.28万元，其中：副省级以上领导干部用车0辆，主要</w:t>
      </w:r>
      <w:r>
        <w:rPr>
          <w:rFonts w:ascii="仿宋" w:hAnsi="仿宋" w:eastAsia="仿宋"/>
          <w:sz w:val="32"/>
          <w:szCs w:val="32"/>
          <w:highlight w:val="none"/>
        </w:rPr>
        <w:t>领导干部</w:t>
      </w:r>
      <w:r>
        <w:rPr>
          <w:rFonts w:hint="eastAsia" w:ascii="仿宋" w:hAnsi="仿宋" w:eastAsia="仿宋"/>
          <w:sz w:val="32"/>
          <w:szCs w:val="32"/>
          <w:highlight w:val="none"/>
        </w:rPr>
        <w:t>用车0辆，机要通讯用车0辆，应急</w:t>
      </w:r>
      <w:r>
        <w:rPr>
          <w:rFonts w:ascii="仿宋" w:hAnsi="仿宋" w:eastAsia="仿宋"/>
          <w:sz w:val="32"/>
          <w:szCs w:val="32"/>
          <w:highlight w:val="none"/>
        </w:rPr>
        <w:t>保障用车</w:t>
      </w:r>
      <w:r>
        <w:rPr>
          <w:rFonts w:hint="eastAsia" w:ascii="仿宋" w:hAnsi="仿宋" w:eastAsia="仿宋"/>
          <w:sz w:val="32"/>
          <w:szCs w:val="32"/>
          <w:highlight w:val="none"/>
        </w:rPr>
        <w:t>0</w:t>
      </w:r>
      <w:r>
        <w:rPr>
          <w:rFonts w:ascii="仿宋" w:hAnsi="仿宋" w:eastAsia="仿宋"/>
          <w:sz w:val="32"/>
          <w:szCs w:val="32"/>
          <w:highlight w:val="none"/>
        </w:rPr>
        <w:t>辆，</w:t>
      </w:r>
      <w:r>
        <w:rPr>
          <w:rFonts w:hint="eastAsia" w:ascii="仿宋" w:hAnsi="仿宋" w:eastAsia="仿宋"/>
          <w:sz w:val="32"/>
          <w:szCs w:val="32"/>
          <w:highlight w:val="none"/>
        </w:rPr>
        <w:t>执法执勤</w:t>
      </w:r>
      <w:r>
        <w:rPr>
          <w:rFonts w:ascii="仿宋" w:hAnsi="仿宋" w:eastAsia="仿宋"/>
          <w:sz w:val="32"/>
          <w:szCs w:val="32"/>
          <w:highlight w:val="none"/>
        </w:rPr>
        <w:t>用车</w:t>
      </w:r>
      <w:r>
        <w:rPr>
          <w:rFonts w:hint="eastAsia" w:ascii="仿宋" w:hAnsi="仿宋" w:eastAsia="仿宋"/>
          <w:sz w:val="32"/>
          <w:szCs w:val="32"/>
          <w:highlight w:val="none"/>
        </w:rPr>
        <w:t>0辆</w:t>
      </w:r>
      <w:r>
        <w:rPr>
          <w:rFonts w:ascii="仿宋" w:hAnsi="仿宋" w:eastAsia="仿宋"/>
          <w:sz w:val="32"/>
          <w:szCs w:val="32"/>
          <w:highlight w:val="none"/>
        </w:rPr>
        <w:t>，</w:t>
      </w:r>
      <w:r>
        <w:rPr>
          <w:rFonts w:hint="eastAsia" w:ascii="仿宋" w:hAnsi="仿宋" w:eastAsia="仿宋"/>
          <w:sz w:val="32"/>
          <w:szCs w:val="32"/>
          <w:highlight w:val="none"/>
        </w:rPr>
        <w:t>特种专业技术用车0辆，离退休</w:t>
      </w:r>
      <w:r>
        <w:rPr>
          <w:rFonts w:ascii="仿宋" w:hAnsi="仿宋" w:eastAsia="仿宋"/>
          <w:sz w:val="32"/>
          <w:szCs w:val="32"/>
          <w:highlight w:val="none"/>
        </w:rPr>
        <w:t>干部用车</w:t>
      </w:r>
      <w:r>
        <w:rPr>
          <w:rFonts w:hint="eastAsia" w:ascii="仿宋" w:hAnsi="仿宋" w:eastAsia="仿宋"/>
          <w:sz w:val="32"/>
          <w:szCs w:val="32"/>
          <w:highlight w:val="none"/>
        </w:rPr>
        <w:t>0辆</w:t>
      </w:r>
      <w:r>
        <w:rPr>
          <w:rFonts w:ascii="仿宋" w:hAnsi="仿宋" w:eastAsia="仿宋"/>
          <w:sz w:val="32"/>
          <w:szCs w:val="32"/>
          <w:highlight w:val="none"/>
        </w:rPr>
        <w:t>，</w:t>
      </w:r>
      <w:r>
        <w:rPr>
          <w:rFonts w:hint="eastAsia" w:ascii="仿宋" w:hAnsi="仿宋" w:eastAsia="仿宋"/>
          <w:sz w:val="32"/>
          <w:szCs w:val="32"/>
          <w:highlight w:val="none"/>
        </w:rPr>
        <w:t>其他用车2辆；单位价值50万元以上通用设备0台（套），单价100万元以上专用设备0台（套）。</w:t>
      </w:r>
    </w:p>
    <w:p>
      <w:pPr>
        <w:spacing w:line="540" w:lineRule="exact"/>
        <w:ind w:firstLine="643" w:firstLineChars="20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（四）预算绩效情况</w:t>
      </w:r>
    </w:p>
    <w:p>
      <w:pPr>
        <w:spacing w:line="540" w:lineRule="exact"/>
        <w:ind w:firstLine="643" w:firstLineChars="200"/>
        <w:rPr>
          <w:rFonts w:ascii="楷体_GB2312" w:hAnsi="宋体" w:eastAsia="楷体_GB2312"/>
          <w:b/>
          <w:sz w:val="32"/>
          <w:szCs w:val="32"/>
          <w:highlight w:val="none"/>
        </w:rPr>
      </w:pPr>
      <w:r>
        <w:rPr>
          <w:rFonts w:hint="eastAsia" w:ascii="楷体_GB2312" w:hAnsi="宋体" w:eastAsia="楷体_GB2312"/>
          <w:b/>
          <w:sz w:val="32"/>
          <w:szCs w:val="32"/>
          <w:highlight w:val="none"/>
        </w:rPr>
        <w:t>1预算绩效管理工作开展情况。</w:t>
      </w:r>
    </w:p>
    <w:p>
      <w:pPr>
        <w:widowControl/>
        <w:spacing w:line="540" w:lineRule="exact"/>
        <w:ind w:firstLine="643" w:firstLineChars="200"/>
        <w:jc w:val="left"/>
        <w:rPr>
          <w:rFonts w:ascii="仿宋" w:hAnsi="仿宋" w:eastAsia="仿宋" w:cs="仿宋_GB2312"/>
          <w:sz w:val="32"/>
          <w:szCs w:val="32"/>
          <w:highlight w:val="none"/>
        </w:rPr>
      </w:pPr>
      <w:r>
        <w:rPr>
          <w:rFonts w:hint="eastAsia" w:ascii="仿宋" w:hAnsi="仿宋" w:eastAsia="仿宋" w:cs="仿宋_GB2312"/>
          <w:b/>
          <w:bCs/>
          <w:sz w:val="32"/>
          <w:szCs w:val="32"/>
          <w:highlight w:val="none"/>
        </w:rPr>
        <w:t>（1）绩效自评情况。</w:t>
      </w:r>
      <w:r>
        <w:rPr>
          <w:rFonts w:ascii="仿宋" w:hAnsi="仿宋" w:eastAsia="仿宋" w:cs="仿宋_GB2312"/>
          <w:sz w:val="32"/>
          <w:szCs w:val="32"/>
          <w:highlight w:val="none"/>
        </w:rPr>
        <w:t>根据预算</w:t>
      </w:r>
      <w:r>
        <w:rPr>
          <w:rFonts w:hint="eastAsia" w:ascii="仿宋" w:hAnsi="仿宋" w:eastAsia="仿宋" w:cs="仿宋_GB2312"/>
          <w:sz w:val="32"/>
          <w:szCs w:val="32"/>
          <w:highlight w:val="none"/>
        </w:rPr>
        <w:t>绩效</w:t>
      </w:r>
      <w:r>
        <w:rPr>
          <w:rFonts w:ascii="仿宋" w:hAnsi="仿宋" w:eastAsia="仿宋" w:cs="仿宋_GB2312"/>
          <w:sz w:val="32"/>
          <w:szCs w:val="32"/>
          <w:highlight w:val="none"/>
        </w:rPr>
        <w:t>管理要求，我</w:t>
      </w:r>
      <w:r>
        <w:rPr>
          <w:rFonts w:hint="eastAsia" w:ascii="仿宋" w:hAnsi="仿宋" w:eastAsia="仿宋" w:cs="仿宋_GB2312"/>
          <w:sz w:val="32"/>
          <w:szCs w:val="32"/>
          <w:highlight w:val="none"/>
        </w:rPr>
        <w:t>部门</w:t>
      </w:r>
      <w:r>
        <w:rPr>
          <w:rFonts w:ascii="仿宋" w:hAnsi="仿宋" w:eastAsia="仿宋" w:cs="仿宋_GB2312"/>
          <w:sz w:val="32"/>
          <w:szCs w:val="32"/>
          <w:highlight w:val="none"/>
        </w:rPr>
        <w:t>组织对</w:t>
      </w:r>
      <w:r>
        <w:rPr>
          <w:rFonts w:hint="eastAsia" w:ascii="仿宋" w:hAnsi="仿宋" w:eastAsia="仿宋" w:cs="宋体"/>
          <w:sz w:val="32"/>
          <w:szCs w:val="32"/>
          <w:highlight w:val="none"/>
        </w:rPr>
        <w:t>2021</w:t>
      </w:r>
      <w:r>
        <w:rPr>
          <w:rFonts w:hint="eastAsia" w:ascii="仿宋" w:hAnsi="仿宋" w:eastAsia="仿宋" w:cs="仿宋_GB2312"/>
          <w:sz w:val="32"/>
          <w:szCs w:val="32"/>
          <w:highlight w:val="none"/>
        </w:rPr>
        <w:t>年度预算项目支出全面开展整体绩效自评，涉及资金</w:t>
      </w:r>
      <w:r>
        <w:rPr>
          <w:rFonts w:hint="eastAsia" w:ascii="仿宋" w:hAnsi="仿宋" w:eastAsia="仿宋" w:cs="仿宋_GB2312"/>
          <w:sz w:val="32"/>
          <w:szCs w:val="32"/>
          <w:highlight w:val="none"/>
          <w:lang w:val="en-US" w:eastAsia="zh-CN"/>
        </w:rPr>
        <w:t>515.83</w:t>
      </w:r>
      <w:r>
        <w:rPr>
          <w:rFonts w:hint="eastAsia" w:ascii="仿宋" w:hAnsi="仿宋" w:eastAsia="仿宋" w:cs="仿宋_GB2312"/>
          <w:sz w:val="32"/>
          <w:szCs w:val="32"/>
          <w:highlight w:val="none"/>
        </w:rPr>
        <w:t>万元，自评平均分</w:t>
      </w:r>
      <w:r>
        <w:rPr>
          <w:rFonts w:ascii="仿宋" w:hAnsi="仿宋" w:eastAsia="仿宋" w:cs="仿宋_GB2312"/>
          <w:sz w:val="32"/>
          <w:szCs w:val="32"/>
          <w:highlight w:val="none"/>
        </w:rPr>
        <w:t>9</w:t>
      </w:r>
      <w:r>
        <w:rPr>
          <w:rFonts w:hint="eastAsia" w:ascii="仿宋" w:hAnsi="仿宋" w:eastAsia="仿宋" w:cs="仿宋_GB2312"/>
          <w:sz w:val="32"/>
          <w:szCs w:val="32"/>
          <w:highlight w:val="none"/>
        </w:rPr>
        <w:t>4分；我部门无特定目标类项目。</w:t>
      </w:r>
    </w:p>
    <w:p>
      <w:pPr>
        <w:widowControl/>
        <w:spacing w:line="540" w:lineRule="exact"/>
        <w:ind w:firstLine="643" w:firstLineChars="200"/>
        <w:jc w:val="left"/>
        <w:rPr>
          <w:rFonts w:ascii="仿宋" w:hAnsi="仿宋" w:eastAsia="仿宋" w:cs="仿宋_GB2312"/>
          <w:sz w:val="32"/>
          <w:szCs w:val="32"/>
          <w:highlight w:val="none"/>
        </w:rPr>
      </w:pPr>
      <w:r>
        <w:rPr>
          <w:rFonts w:hint="eastAsia" w:ascii="仿宋" w:hAnsi="仿宋" w:eastAsia="仿宋" w:cs="仿宋_GB2312"/>
          <w:b/>
          <w:sz w:val="32"/>
          <w:szCs w:val="32"/>
          <w:highlight w:val="none"/>
        </w:rPr>
        <w:t>（2）重点项目评价情况。</w:t>
      </w:r>
      <w:bookmarkStart w:id="4" w:name="_GoBack"/>
      <w:r>
        <w:rPr>
          <w:rFonts w:hint="eastAsia" w:ascii="仿宋" w:hAnsi="仿宋" w:eastAsia="仿宋" w:cs="仿宋_GB2312"/>
          <w:sz w:val="32"/>
          <w:szCs w:val="32"/>
          <w:highlight w:val="none"/>
        </w:rPr>
        <w:t>我</w:t>
      </w:r>
      <w:bookmarkEnd w:id="4"/>
      <w:r>
        <w:rPr>
          <w:rFonts w:hint="eastAsia" w:ascii="仿宋" w:hAnsi="仿宋" w:eastAsia="仿宋" w:cs="仿宋_GB2312"/>
          <w:sz w:val="32"/>
          <w:szCs w:val="32"/>
          <w:highlight w:val="none"/>
        </w:rPr>
        <w:t>部门组织对9个项目开展了重点绩效评价，涉及资金37万元。通过绩效自评发现主要存在以下问题：</w:t>
      </w:r>
      <w:r>
        <w:rPr>
          <w:rFonts w:ascii="仿宋" w:hAnsi="仿宋" w:eastAsia="仿宋" w:cs="黑体"/>
          <w:sz w:val="32"/>
          <w:szCs w:val="32"/>
          <w:highlight w:val="none"/>
        </w:rPr>
        <w:t>一是</w:t>
      </w:r>
      <w:r>
        <w:rPr>
          <w:rFonts w:hint="eastAsia" w:ascii="仿宋_GB2312" w:eastAsia="仿宋_GB2312"/>
          <w:color w:val="000000"/>
          <w:sz w:val="32"/>
          <w:szCs w:val="32"/>
          <w:highlight w:val="none"/>
        </w:rPr>
        <w:t>预算项目支出绩效管理工作的主动性和积极性需进一步提高</w:t>
      </w:r>
      <w:r>
        <w:rPr>
          <w:rFonts w:hint="eastAsia" w:ascii="仿宋" w:hAnsi="仿宋" w:eastAsia="仿宋" w:cs="宋体"/>
          <w:sz w:val="32"/>
          <w:szCs w:val="32"/>
          <w:highlight w:val="none"/>
        </w:rPr>
        <w:t>;</w:t>
      </w:r>
      <w:r>
        <w:rPr>
          <w:rFonts w:hint="eastAsia" w:ascii="仿宋" w:hAnsi="仿宋" w:eastAsia="仿宋" w:cs="黑体"/>
          <w:sz w:val="32"/>
          <w:szCs w:val="32"/>
          <w:highlight w:val="none"/>
        </w:rPr>
        <w:t>二是</w:t>
      </w:r>
      <w:r>
        <w:rPr>
          <w:rFonts w:hint="eastAsia" w:ascii="仿宋_GB2312" w:eastAsia="仿宋_GB2312"/>
          <w:color w:val="000000"/>
          <w:sz w:val="32"/>
          <w:szCs w:val="32"/>
          <w:highlight w:val="none"/>
        </w:rPr>
        <w:t>预算项目支出绩效管理制度还不够完善，操作性不强。</w:t>
      </w:r>
      <w:r>
        <w:rPr>
          <w:rFonts w:hint="eastAsia" w:ascii="仿宋" w:hAnsi="仿宋" w:eastAsia="仿宋" w:cs="仿宋_GB2312"/>
          <w:sz w:val="32"/>
          <w:szCs w:val="32"/>
          <w:highlight w:val="none"/>
        </w:rPr>
        <w:t>下一步将采取以下措施加以改进：</w:t>
      </w:r>
      <w:r>
        <w:rPr>
          <w:rFonts w:hint="eastAsia" w:ascii="仿宋" w:hAnsi="仿宋" w:eastAsia="仿宋" w:cs="黑体"/>
          <w:sz w:val="32"/>
          <w:szCs w:val="32"/>
          <w:highlight w:val="none"/>
        </w:rPr>
        <w:t>一是</w:t>
      </w:r>
      <w:r>
        <w:rPr>
          <w:rFonts w:hint="eastAsia" w:ascii="仿宋_GB2312" w:eastAsia="仿宋_GB2312"/>
          <w:color w:val="000000"/>
          <w:sz w:val="32"/>
          <w:szCs w:val="32"/>
          <w:highlight w:val="none"/>
        </w:rPr>
        <w:t>一是强化预算支出责任意识，增强绩效管理理念</w:t>
      </w:r>
      <w:r>
        <w:rPr>
          <w:rFonts w:hint="eastAsia" w:ascii="仿宋" w:hAnsi="仿宋" w:eastAsia="仿宋" w:cs="宋体"/>
          <w:sz w:val="32"/>
          <w:szCs w:val="32"/>
          <w:highlight w:val="none"/>
        </w:rPr>
        <w:t>;</w:t>
      </w:r>
      <w:r>
        <w:rPr>
          <w:rFonts w:hint="eastAsia" w:ascii="仿宋" w:hAnsi="仿宋" w:eastAsia="仿宋" w:cs="黑体"/>
          <w:sz w:val="32"/>
          <w:szCs w:val="32"/>
          <w:highlight w:val="none"/>
        </w:rPr>
        <w:t>二是</w:t>
      </w:r>
      <w:r>
        <w:rPr>
          <w:rFonts w:hint="eastAsia" w:ascii="仿宋_GB2312" w:eastAsia="仿宋_GB2312"/>
          <w:color w:val="000000"/>
          <w:sz w:val="32"/>
          <w:szCs w:val="32"/>
          <w:highlight w:val="none"/>
        </w:rPr>
        <w:t>进一步完善绩效管理工作制度和办法</w:t>
      </w:r>
      <w:r>
        <w:rPr>
          <w:rFonts w:hint="eastAsia" w:ascii="仿宋" w:hAnsi="仿宋" w:eastAsia="仿宋" w:cs="仿宋_GB2312"/>
          <w:sz w:val="32"/>
          <w:szCs w:val="32"/>
          <w:highlight w:val="none"/>
        </w:rPr>
        <w:t>。</w:t>
      </w:r>
    </w:p>
    <w:p>
      <w:pPr>
        <w:widowControl/>
        <w:spacing w:line="540" w:lineRule="exact"/>
        <w:ind w:firstLine="643" w:firstLineChars="200"/>
        <w:jc w:val="left"/>
        <w:rPr>
          <w:rFonts w:hint="eastAsia" w:ascii="仿宋" w:hAnsi="仿宋" w:eastAsia="仿宋" w:cs="仿宋_GB2312"/>
          <w:b/>
          <w:bCs/>
          <w:sz w:val="32"/>
          <w:szCs w:val="32"/>
          <w:highlight w:val="none"/>
        </w:rPr>
      </w:pPr>
      <w:r>
        <w:rPr>
          <w:rFonts w:hint="eastAsia" w:ascii="仿宋" w:hAnsi="仿宋" w:eastAsia="仿宋" w:cs="仿宋_GB2312"/>
          <w:b/>
          <w:bCs/>
          <w:sz w:val="32"/>
          <w:szCs w:val="32"/>
          <w:highlight w:val="none"/>
        </w:rPr>
        <w:t>2.部门决算中特定目标类项目绩效自评结果。</w:t>
      </w:r>
    </w:p>
    <w:p>
      <w:pPr>
        <w:widowControl/>
        <w:spacing w:line="540" w:lineRule="exact"/>
        <w:ind w:firstLine="420" w:firstLineChars="200"/>
        <w:jc w:val="left"/>
        <w:rPr>
          <w:rFonts w:hint="eastAsia" w:ascii="仿宋" w:hAnsi="仿宋" w:eastAsia="仿宋"/>
          <w:sz w:val="32"/>
          <w:szCs w:val="32"/>
        </w:rPr>
      </w:pPr>
      <w:r>
        <w:rPr>
          <w:rFonts w:hint="eastAsia" w:ascii="仿宋" w:hAnsi="仿宋" w:eastAsia="仿宋"/>
        </w:rPr>
        <w:t xml:space="preserve">  </w:t>
      </w:r>
      <w:r>
        <w:rPr>
          <w:rFonts w:hint="eastAsia" w:ascii="仿宋" w:hAnsi="仿宋" w:eastAsia="仿宋"/>
          <w:sz w:val="32"/>
          <w:szCs w:val="32"/>
        </w:rPr>
        <w:t xml:space="preserve"> 我部门2021年度决算中无特定目标类项目。</w:t>
      </w:r>
    </w:p>
    <w:p>
      <w:pPr>
        <w:widowControl/>
        <w:spacing w:line="540" w:lineRule="exact"/>
        <w:ind w:firstLine="640" w:firstLineChars="200"/>
        <w:jc w:val="left"/>
        <w:rPr>
          <w:rFonts w:ascii="仿宋" w:hAnsi="仿宋" w:eastAsia="仿宋"/>
          <w:sz w:val="32"/>
          <w:szCs w:val="32"/>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7"/>
        <w:gridCol w:w="368"/>
        <w:gridCol w:w="368"/>
        <w:gridCol w:w="518"/>
        <w:gridCol w:w="368"/>
        <w:gridCol w:w="442"/>
        <w:gridCol w:w="368"/>
        <w:gridCol w:w="820"/>
        <w:gridCol w:w="368"/>
        <w:gridCol w:w="442"/>
        <w:gridCol w:w="519"/>
        <w:gridCol w:w="504"/>
        <w:gridCol w:w="368"/>
        <w:gridCol w:w="368"/>
        <w:gridCol w:w="368"/>
        <w:gridCol w:w="669"/>
        <w:gridCol w:w="442"/>
        <w:gridCol w:w="442"/>
        <w:gridCol w:w="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部门（单位）整体绩效自评表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Style w:val="11"/>
                <w:bdr w:val="none" w:color="auto" w:sz="0" w:space="0"/>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161012盘锦市商贸物流基地建设服务中心-211100000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关于宣传省和市关于商贸物流现代产业链项目发展工作的有关政策措施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现代物流产业链项目建设专项经费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6.03785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参与“一带一路“物流基地专项建设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一带一路物流基地建设工作经费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发展农产品及冷链物流产业助力乡村振兴专项经费重点园区重点项目全程服务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发展农产品及冷链物流产业，助力乡村振兴专项经费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推动再生资源绿业化、循环化、行业高质量创新发展专项经费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推动再生资源行业高质量创新发展专项经费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全市现代商贸物流产业培训和行业调查、信息咨询举办产业相关技能活动专项经费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全市现代商贸物流产业培训和举办产业相关技能活动专项经费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发展石化物流发展经验，对联行业龙头企业与域内企业对接项目经费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发展石化物流工作经费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主要宣传盘锦及推介盘锦等到项目经费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宣传及推介经费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3.3846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加快推进重点粮食物流项目建设，完成产业链条工作经费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发展粮食物流工作经费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开展为商贸物流基地重点园区、重点企业、提供政策咨询，推进楼宇工作经济专项经费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推进楼宇工作经济专项经费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认真完成商贸物流基地建设服务中心重点工作，加强财务管理，完成财务工作。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563.830648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563.83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认真完成商贸物流基地建设服务中心建设及维护各项工作任务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52.710851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认真完成商贸物流基地建设服务中心的建设及维护各项工作任务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宣传省和市关于商贸物流现代产业链项目发展有关措施遇到问题向有关部门反映企业诉求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参与一带一路等物流大通道建设积极构建营销和物流网络承担物流产业园服务工作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推动再生资源行业绿业化高值化专业化发展负责再生资源企业的服务工作。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负责宣传及推介商贸物流基地建设服务中心的工作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学习国内发达地区及龙头企业石化物流发展经验对联行业龙头企业与域内企业对接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加快推进重点粮食物流项目建设完成产业链条工作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开展为商贸物流基地重点园区重点企业 提供政策咨询推进楼宇工作经济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全市现代商贸物流产业培训和行业调查信息咨询并举办产业相关技能活动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发展农产品及冷链物流产业助力乡村振兴重点园区重点项目全程服务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认真完成商贸物流中心重点工作完成好各项工作任务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完成情况100%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结转结余变动率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因为2021年度，年初预算一体化系统尚未录入指标值，所以完成程度未达到100%。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其他:进一步细化预算编制，加快预算执行进度，建立健全预算执行监控制度，进一步强化结余资金的管理。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运行成本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人均公用经费变动率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政治效益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实现全面小康社会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4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参加3次以上文化活动占比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当地群众满意度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人才培养机制健全性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全面培养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建议进一步规范预算管理，严格预算编制管理，增强预算执行的法律约束力，健全预算编制程序。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建议继续安排，并按照规定安排好下一年经费数额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完成较好，审核通过</w:t>
            </w:r>
          </w:p>
        </w:tc>
      </w:tr>
    </w:tbl>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 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b/>
          <w:sz w:val="32"/>
          <w:szCs w:val="32"/>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 xml:space="preserve"> 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16.一般公共服务支出（类）商贸事务（款）事业运行（项）：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17</w:t>
      </w:r>
      <w:r>
        <w:rPr>
          <w:rFonts w:hint="eastAsia" w:ascii="仿宋_GB2312" w:eastAsia="仿宋_GB2312" w:cs="黑体"/>
          <w:b/>
          <w:bCs/>
          <w:sz w:val="32"/>
          <w:szCs w:val="32"/>
        </w:rPr>
        <w:t>.</w:t>
      </w:r>
      <w:bookmarkStart w:id="1" w:name="_Hlk83134263"/>
      <w:r>
        <w:rPr>
          <w:rFonts w:hint="eastAsia" w:ascii="仿宋_GB2312" w:eastAsia="仿宋_GB2312" w:cs="黑体"/>
          <w:b/>
          <w:bCs/>
          <w:sz w:val="32"/>
          <w:szCs w:val="32"/>
        </w:rPr>
        <w:t>社会保障和就业支出（类）行政事业单位养老支出（款）事业单位离退休（项）</w:t>
      </w:r>
      <w:bookmarkEnd w:id="1"/>
      <w:r>
        <w:rPr>
          <w:rFonts w:hint="eastAsia" w:ascii="仿宋_GB2312" w:eastAsia="仿宋_GB2312" w:cs="黑体"/>
          <w:b/>
          <w:bCs/>
          <w:sz w:val="32"/>
          <w:szCs w:val="32"/>
        </w:rPr>
        <w:t>：</w:t>
      </w:r>
      <w:r>
        <w:rPr>
          <w:rFonts w:hint="eastAsia" w:ascii="仿宋_GB2312" w:eastAsia="仿宋_GB2312" w:cs="黑体"/>
          <w:sz w:val="32"/>
          <w:szCs w:val="32"/>
        </w:rPr>
        <w:t>反映事业单位开支的离退休经费。</w:t>
      </w:r>
    </w:p>
    <w:p>
      <w:pPr>
        <w:spacing w:line="540" w:lineRule="exact"/>
        <w:ind w:firstLine="643" w:firstLineChars="200"/>
        <w:rPr>
          <w:rFonts w:ascii="仿宋" w:hAnsi="仿宋" w:eastAsia="仿宋"/>
          <w:sz w:val="32"/>
          <w:szCs w:val="32"/>
        </w:rPr>
      </w:pPr>
      <w:r>
        <w:rPr>
          <w:rFonts w:ascii="仿宋_GB2312" w:eastAsia="仿宋_GB2312" w:cs="黑体"/>
          <w:b/>
          <w:bCs/>
          <w:sz w:val="32"/>
          <w:szCs w:val="32"/>
        </w:rPr>
        <w:t>18</w:t>
      </w:r>
      <w:r>
        <w:rPr>
          <w:rFonts w:hint="eastAsia" w:ascii="仿宋_GB2312" w:eastAsia="仿宋_GB2312" w:cs="黑体"/>
          <w:b/>
          <w:bCs/>
          <w:sz w:val="32"/>
          <w:szCs w:val="32"/>
        </w:rPr>
        <w:t>.社会保障和就业支出（类）行政事业单位养老支出（款）机关事业单位基本养老保险缴费支出（项）：</w:t>
      </w:r>
      <w:r>
        <w:rPr>
          <w:rFonts w:hint="eastAsia" w:ascii="仿宋_GB2312" w:eastAsia="仿宋_GB2312" w:cs="黑体"/>
          <w:sz w:val="32"/>
          <w:szCs w:val="32"/>
        </w:rPr>
        <w:t>反映机关事业单位实施养老保险制度由单位缴纳的基本养老保险费支出。</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19</w:t>
      </w:r>
      <w:r>
        <w:rPr>
          <w:rFonts w:hint="eastAsia" w:ascii="仿宋_GB2312" w:eastAsia="仿宋_GB2312" w:cs="黑体"/>
          <w:b/>
          <w:bCs/>
          <w:sz w:val="32"/>
          <w:szCs w:val="32"/>
        </w:rPr>
        <w:t>.社会保障和就业支出（类）行政事业单位养老支出（款）机关事业单位职业年金缴费支出（项）：</w:t>
      </w:r>
      <w:r>
        <w:rPr>
          <w:rFonts w:hint="eastAsia" w:ascii="仿宋_GB2312" w:eastAsia="仿宋_GB2312" w:cs="黑体"/>
          <w:sz w:val="32"/>
          <w:szCs w:val="32"/>
        </w:rPr>
        <w:t>反映机关事业单位实施养老保险制度由单位实际缴纳的职业年金支出。</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20</w:t>
      </w:r>
      <w:r>
        <w:rPr>
          <w:rFonts w:hint="eastAsia" w:ascii="仿宋_GB2312" w:eastAsia="仿宋_GB2312" w:cs="黑体"/>
          <w:b/>
          <w:bCs/>
          <w:sz w:val="32"/>
          <w:szCs w:val="32"/>
        </w:rPr>
        <w:t>.社会保障和就业支出（类）抚恤（款）伤残抚恤（项）：</w:t>
      </w:r>
      <w:r>
        <w:rPr>
          <w:rFonts w:hint="eastAsia" w:ascii="仿宋_GB2312" w:eastAsia="仿宋_GB2312" w:cs="黑体"/>
          <w:sz w:val="32"/>
          <w:szCs w:val="32"/>
        </w:rPr>
        <w:t>反映按规定用于伤残人员的抚恤金和按规定开支的各种伤残补助费。</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21</w:t>
      </w:r>
      <w:r>
        <w:rPr>
          <w:rFonts w:hint="eastAsia" w:ascii="仿宋_GB2312" w:eastAsia="仿宋_GB2312" w:cs="黑体"/>
          <w:b/>
          <w:bCs/>
          <w:sz w:val="32"/>
          <w:szCs w:val="32"/>
        </w:rPr>
        <w:t>.社会保障和就业支出（类）其他社会保障和就业支出（款）其他社会保障和就业支出（项）：</w:t>
      </w:r>
      <w:r>
        <w:rPr>
          <w:rFonts w:hint="eastAsia" w:ascii="仿宋_GB2312" w:eastAsia="仿宋_GB2312" w:cs="黑体"/>
          <w:sz w:val="32"/>
          <w:szCs w:val="32"/>
        </w:rPr>
        <w:t>反映除上述项目以外其他用于社会保障和就业方面的支出。</w:t>
      </w:r>
    </w:p>
    <w:p>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2</w:t>
      </w:r>
      <w:r>
        <w:rPr>
          <w:rFonts w:hint="eastAsia" w:ascii="仿宋_GB2312" w:eastAsia="仿宋_GB2312" w:cs="黑体"/>
          <w:b/>
          <w:bCs/>
          <w:sz w:val="32"/>
          <w:szCs w:val="32"/>
        </w:rPr>
        <w:t>.卫生健康支出（类）</w:t>
      </w:r>
      <w:bookmarkStart w:id="2" w:name="_Hlk83135488"/>
      <w:r>
        <w:rPr>
          <w:rFonts w:hint="eastAsia" w:ascii="仿宋_GB2312" w:eastAsia="仿宋_GB2312" w:cs="黑体"/>
          <w:b/>
          <w:bCs/>
          <w:sz w:val="32"/>
          <w:szCs w:val="32"/>
        </w:rPr>
        <w:t>行政事业单位医疗</w:t>
      </w:r>
      <w:bookmarkEnd w:id="2"/>
      <w:r>
        <w:rPr>
          <w:rFonts w:hint="eastAsia" w:ascii="仿宋_GB2312" w:eastAsia="仿宋_GB2312" w:cs="黑体"/>
          <w:b/>
          <w:bCs/>
          <w:sz w:val="32"/>
          <w:szCs w:val="32"/>
        </w:rPr>
        <w:t>（款）事业单位医疗（项）：</w:t>
      </w:r>
      <w:r>
        <w:rPr>
          <w:rFonts w:hint="eastAsia" w:ascii="仿宋_GB2312" w:eastAsia="仿宋_GB2312" w:cs="黑体"/>
          <w:sz w:val="32"/>
          <w:szCs w:val="32"/>
        </w:rPr>
        <w:t>反映财政部门安排的事业单位基本医疗保险缴费经费，未参加医疗保险的事业单位的公费医疗经费，按国家规定享受离休人员待遇的医疗经费。</w:t>
      </w:r>
    </w:p>
    <w:p>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3</w:t>
      </w:r>
      <w:r>
        <w:rPr>
          <w:rFonts w:hint="eastAsia" w:ascii="仿宋_GB2312" w:eastAsia="仿宋_GB2312" w:cs="黑体"/>
          <w:b/>
          <w:bCs/>
          <w:sz w:val="32"/>
          <w:szCs w:val="32"/>
        </w:rPr>
        <w:t>. 卫生健康支出（类）行政事业单位医疗（款）其他行政事业单位医疗支出（项）：</w:t>
      </w:r>
      <w:r>
        <w:rPr>
          <w:rFonts w:hint="eastAsia" w:ascii="仿宋_GB2312" w:eastAsia="仿宋_GB2312" w:cs="黑体"/>
          <w:sz w:val="32"/>
          <w:szCs w:val="32"/>
        </w:rPr>
        <w:t>反映除上述项目以外的其他用于行政事业单位医疗方面的支出。</w:t>
      </w:r>
      <w:bookmarkStart w:id="3" w:name="_Hlk83135859"/>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24</w:t>
      </w:r>
      <w:r>
        <w:rPr>
          <w:rFonts w:hint="eastAsia" w:ascii="仿宋_GB2312" w:eastAsia="仿宋_GB2312" w:cs="黑体"/>
          <w:b/>
          <w:bCs/>
          <w:sz w:val="32"/>
          <w:szCs w:val="32"/>
        </w:rPr>
        <w:t>.住房保障支出（类）住房改革支出（款）住房公积金（项）：</w:t>
      </w:r>
      <w:r>
        <w:rPr>
          <w:rFonts w:hint="eastAsia" w:ascii="仿宋_GB2312" w:eastAsia="仿宋_GB2312" w:cs="黑体"/>
          <w:sz w:val="32"/>
          <w:szCs w:val="32"/>
        </w:rPr>
        <w:t>反映行政事业单位按人力资源和社会保障部、财政部规定的基本工资和津贴补贴以及规定比例为职工缴纳的住房公积金。</w:t>
      </w:r>
    </w:p>
    <w:bookmarkEnd w:id="3"/>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25</w:t>
      </w:r>
      <w:r>
        <w:rPr>
          <w:rFonts w:hint="eastAsia" w:ascii="仿宋_GB2312" w:eastAsia="仿宋_GB2312" w:cs="黑体"/>
          <w:b/>
          <w:bCs/>
          <w:sz w:val="32"/>
          <w:szCs w:val="32"/>
        </w:rPr>
        <w:t>.商业服务业（类）商业流通事务（款）事业运行（项）：</w:t>
      </w:r>
      <w:r>
        <w:rPr>
          <w:rFonts w:hint="eastAsia" w:ascii="仿宋_GB2312" w:eastAsia="仿宋_GB2312" w:cs="黑体"/>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26</w:t>
      </w:r>
      <w:r>
        <w:rPr>
          <w:rFonts w:hint="eastAsia" w:ascii="仿宋_GB2312" w:eastAsia="仿宋_GB2312" w:cs="黑体"/>
          <w:b/>
          <w:bCs/>
          <w:sz w:val="32"/>
          <w:szCs w:val="32"/>
        </w:rPr>
        <w:t>.商业服务业（类）商业流通事务（款）其他商业</w:t>
      </w:r>
      <w:r>
        <w:rPr>
          <w:rFonts w:hint="eastAsia" w:ascii="仿宋_GB2312" w:eastAsia="仿宋_GB2312" w:cs="黑体"/>
          <w:b/>
          <w:bCs/>
          <w:sz w:val="32"/>
          <w:szCs w:val="32"/>
          <w:lang w:eastAsia="zh-CN"/>
        </w:rPr>
        <w:t>流通事务</w:t>
      </w:r>
      <w:r>
        <w:rPr>
          <w:rFonts w:hint="eastAsia" w:ascii="仿宋_GB2312" w:eastAsia="仿宋_GB2312" w:cs="黑体"/>
          <w:b/>
          <w:bCs/>
          <w:sz w:val="32"/>
          <w:szCs w:val="32"/>
        </w:rPr>
        <w:t>支出（项）：</w:t>
      </w:r>
      <w:r>
        <w:rPr>
          <w:rFonts w:hint="eastAsia" w:ascii="仿宋_GB2312" w:eastAsia="仿宋_GB2312" w:cs="黑体"/>
          <w:sz w:val="32"/>
          <w:szCs w:val="32"/>
        </w:rPr>
        <w:t>反映其他商业服务业等支出中除上述项目以外的其他支出。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0" w:firstLineChars="200"/>
        <w:rPr>
          <w:rFonts w:hint="eastAsia" w:ascii="仿宋" w:hAnsi="仿宋" w:eastAsia="仿宋"/>
          <w:sz w:val="32"/>
          <w:szCs w:val="32"/>
          <w:highlight w:val="yellow"/>
          <w:lang w:eastAsia="zh-CN"/>
        </w:rPr>
      </w:pPr>
      <w:r>
        <w:rPr>
          <w:rFonts w:hint="eastAsia"/>
          <w:sz w:val="32"/>
          <w:szCs w:val="32"/>
          <w:highlight w:val="none"/>
          <w:lang w:val="en-US" w:eastAsia="zh-CN"/>
        </w:rPr>
        <w:t>32.</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除上述项目以外其他不能划分到具体功能科目的支出项目。</w:t>
      </w:r>
    </w:p>
    <w:p>
      <w:pPr>
        <w:spacing w:line="540" w:lineRule="exact"/>
        <w:rPr>
          <w:rFonts w:hint="eastAsia" w:ascii="仿宋" w:hAnsi="仿宋" w:eastAsia="仿宋"/>
          <w:b/>
          <w:sz w:val="36"/>
          <w:szCs w:val="36"/>
          <w:highlight w:val="yellow"/>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3" w:firstLineChars="200"/>
        <w:rPr>
          <w:rFonts w:ascii="仿宋" w:hAnsi="仿宋" w:eastAsia="仿宋"/>
          <w:b/>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pPr>
        <w:autoSpaceDE w:val="0"/>
        <w:autoSpaceDN w:val="0"/>
        <w:adjustRightInd w:val="0"/>
        <w:spacing w:line="540" w:lineRule="exact"/>
        <w:ind w:firstLine="2349" w:firstLineChars="650"/>
        <w:jc w:val="left"/>
        <w:rPr>
          <w:rFonts w:hint="eastAsia" w:ascii="仿宋_GB2312" w:eastAsia="仿宋_GB2312" w:cs="黑体"/>
          <w:b/>
          <w:sz w:val="36"/>
          <w:szCs w:val="36"/>
        </w:rPr>
      </w:pPr>
      <w:r>
        <w:rPr>
          <w:rFonts w:hint="eastAsia" w:ascii="仿宋_GB2312" w:eastAsia="仿宋_GB2312" w:cs="黑体"/>
          <w:b/>
          <w:sz w:val="36"/>
          <w:szCs w:val="36"/>
        </w:rPr>
        <w:t>第四部分2021年度部门决算表</w:t>
      </w:r>
    </w:p>
    <w:p>
      <w:pPr>
        <w:autoSpaceDE w:val="0"/>
        <w:autoSpaceDN w:val="0"/>
        <w:adjustRightInd w:val="0"/>
        <w:spacing w:line="540" w:lineRule="exact"/>
        <w:ind w:firstLine="2349" w:firstLineChars="650"/>
        <w:jc w:val="left"/>
        <w:rPr>
          <w:rFonts w:hint="eastAsia" w:ascii="仿宋_GB2312" w:eastAsia="仿宋_GB2312" w:cs="黑体"/>
          <w:b/>
          <w:sz w:val="36"/>
          <w:szCs w:val="36"/>
        </w:rPr>
      </w:pPr>
    </w:p>
    <w:p>
      <w:pPr>
        <w:autoSpaceDE w:val="0"/>
        <w:autoSpaceDN w:val="0"/>
        <w:adjustRightInd w:val="0"/>
        <w:spacing w:line="540" w:lineRule="exact"/>
        <w:ind w:left="1971" w:leftChars="250" w:hanging="1446" w:hangingChars="400"/>
        <w:jc w:val="left"/>
        <w:rPr>
          <w:rFonts w:hint="eastAsia" w:ascii="仿宋_GB2312" w:eastAsia="仿宋_GB2312" w:cs="黑体"/>
          <w:b/>
          <w:sz w:val="36"/>
          <w:szCs w:val="36"/>
        </w:rPr>
      </w:pPr>
      <w:r>
        <w:rPr>
          <w:rFonts w:hint="eastAsia" w:ascii="仿宋_GB2312" w:eastAsia="仿宋_GB2312" w:cs="黑体"/>
          <w:b/>
          <w:sz w:val="36"/>
          <w:szCs w:val="36"/>
        </w:rPr>
        <w:t>详见：《盘锦市商贸物流基地建设服务中心2021年度部门决算公开表</w:t>
      </w:r>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28DA9"/>
    <w:multiLevelType w:val="singleLevel"/>
    <w:tmpl w:val="D6228DA9"/>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BE62AD"/>
    <w:rsid w:val="00032E9E"/>
    <w:rsid w:val="00041540"/>
    <w:rsid w:val="00060115"/>
    <w:rsid w:val="000658A3"/>
    <w:rsid w:val="00072D02"/>
    <w:rsid w:val="000B3DEA"/>
    <w:rsid w:val="000B6122"/>
    <w:rsid w:val="000D0E89"/>
    <w:rsid w:val="000D22BA"/>
    <w:rsid w:val="000D240A"/>
    <w:rsid w:val="000D2D6D"/>
    <w:rsid w:val="000F765E"/>
    <w:rsid w:val="001032C2"/>
    <w:rsid w:val="00127166"/>
    <w:rsid w:val="00154EA5"/>
    <w:rsid w:val="00163B6F"/>
    <w:rsid w:val="001758D9"/>
    <w:rsid w:val="00180B70"/>
    <w:rsid w:val="00197AF9"/>
    <w:rsid w:val="001C1C90"/>
    <w:rsid w:val="001C1CA6"/>
    <w:rsid w:val="001C6690"/>
    <w:rsid w:val="001D2A6F"/>
    <w:rsid w:val="001E08A3"/>
    <w:rsid w:val="001F06E5"/>
    <w:rsid w:val="001F4827"/>
    <w:rsid w:val="001F4D56"/>
    <w:rsid w:val="00207D64"/>
    <w:rsid w:val="0022212D"/>
    <w:rsid w:val="002377E0"/>
    <w:rsid w:val="00282D77"/>
    <w:rsid w:val="00290AFF"/>
    <w:rsid w:val="002B55FD"/>
    <w:rsid w:val="002C4B1E"/>
    <w:rsid w:val="003203A0"/>
    <w:rsid w:val="003203C6"/>
    <w:rsid w:val="00321141"/>
    <w:rsid w:val="00323084"/>
    <w:rsid w:val="003240F6"/>
    <w:rsid w:val="00332D2F"/>
    <w:rsid w:val="00336596"/>
    <w:rsid w:val="0035450D"/>
    <w:rsid w:val="00354967"/>
    <w:rsid w:val="00360D68"/>
    <w:rsid w:val="00367CAA"/>
    <w:rsid w:val="00387D22"/>
    <w:rsid w:val="00393A92"/>
    <w:rsid w:val="003B6717"/>
    <w:rsid w:val="003D1122"/>
    <w:rsid w:val="003F6668"/>
    <w:rsid w:val="003F6BEE"/>
    <w:rsid w:val="004041E3"/>
    <w:rsid w:val="00411F62"/>
    <w:rsid w:val="00434F09"/>
    <w:rsid w:val="00437C71"/>
    <w:rsid w:val="00456D37"/>
    <w:rsid w:val="00460C62"/>
    <w:rsid w:val="004732D7"/>
    <w:rsid w:val="004A23C9"/>
    <w:rsid w:val="004B0299"/>
    <w:rsid w:val="004D61EA"/>
    <w:rsid w:val="004F2A87"/>
    <w:rsid w:val="0050710B"/>
    <w:rsid w:val="005116A6"/>
    <w:rsid w:val="00524803"/>
    <w:rsid w:val="00534C2B"/>
    <w:rsid w:val="00564067"/>
    <w:rsid w:val="005948B6"/>
    <w:rsid w:val="005D57A0"/>
    <w:rsid w:val="00604DF5"/>
    <w:rsid w:val="00631CB0"/>
    <w:rsid w:val="00662644"/>
    <w:rsid w:val="006644B5"/>
    <w:rsid w:val="0066716F"/>
    <w:rsid w:val="00671A28"/>
    <w:rsid w:val="00691121"/>
    <w:rsid w:val="00697685"/>
    <w:rsid w:val="006A684B"/>
    <w:rsid w:val="006C40CE"/>
    <w:rsid w:val="006E587F"/>
    <w:rsid w:val="007121E9"/>
    <w:rsid w:val="00726A72"/>
    <w:rsid w:val="00733E6D"/>
    <w:rsid w:val="00750153"/>
    <w:rsid w:val="00780DF3"/>
    <w:rsid w:val="007B04F4"/>
    <w:rsid w:val="007B6B61"/>
    <w:rsid w:val="007C52D7"/>
    <w:rsid w:val="007D2BBC"/>
    <w:rsid w:val="007D6F23"/>
    <w:rsid w:val="007F2DFA"/>
    <w:rsid w:val="007F4AF8"/>
    <w:rsid w:val="008137CD"/>
    <w:rsid w:val="00822085"/>
    <w:rsid w:val="00822199"/>
    <w:rsid w:val="008339AA"/>
    <w:rsid w:val="00881DD9"/>
    <w:rsid w:val="00884AC9"/>
    <w:rsid w:val="0089145A"/>
    <w:rsid w:val="00894620"/>
    <w:rsid w:val="008B3CCB"/>
    <w:rsid w:val="008D1604"/>
    <w:rsid w:val="008F7276"/>
    <w:rsid w:val="00913A16"/>
    <w:rsid w:val="00985733"/>
    <w:rsid w:val="009B4D1E"/>
    <w:rsid w:val="009B79E2"/>
    <w:rsid w:val="009C703B"/>
    <w:rsid w:val="009E4E30"/>
    <w:rsid w:val="009E76BC"/>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0683D"/>
    <w:rsid w:val="00C102DC"/>
    <w:rsid w:val="00C24AD8"/>
    <w:rsid w:val="00C30DAE"/>
    <w:rsid w:val="00C524CB"/>
    <w:rsid w:val="00C52BC7"/>
    <w:rsid w:val="00C63AF4"/>
    <w:rsid w:val="00C9510A"/>
    <w:rsid w:val="00CB5AB6"/>
    <w:rsid w:val="00CD5373"/>
    <w:rsid w:val="00CD6864"/>
    <w:rsid w:val="00CD6878"/>
    <w:rsid w:val="00CD6DCF"/>
    <w:rsid w:val="00CE6EE4"/>
    <w:rsid w:val="00CF12E5"/>
    <w:rsid w:val="00D152C5"/>
    <w:rsid w:val="00D60970"/>
    <w:rsid w:val="00D67601"/>
    <w:rsid w:val="00D7682F"/>
    <w:rsid w:val="00D93016"/>
    <w:rsid w:val="00DB5F6B"/>
    <w:rsid w:val="00DC6895"/>
    <w:rsid w:val="00DE7633"/>
    <w:rsid w:val="00E029F0"/>
    <w:rsid w:val="00E20F61"/>
    <w:rsid w:val="00E30744"/>
    <w:rsid w:val="00E36863"/>
    <w:rsid w:val="00E51358"/>
    <w:rsid w:val="00E632F0"/>
    <w:rsid w:val="00E93FAF"/>
    <w:rsid w:val="00EA177D"/>
    <w:rsid w:val="00EE1982"/>
    <w:rsid w:val="00F12957"/>
    <w:rsid w:val="00F130D6"/>
    <w:rsid w:val="00F24450"/>
    <w:rsid w:val="00F54C5F"/>
    <w:rsid w:val="00F622B4"/>
    <w:rsid w:val="00F65298"/>
    <w:rsid w:val="00F72460"/>
    <w:rsid w:val="00F77836"/>
    <w:rsid w:val="00F932BE"/>
    <w:rsid w:val="00FB5F7B"/>
    <w:rsid w:val="00FE3E9D"/>
    <w:rsid w:val="02C75003"/>
    <w:rsid w:val="066C23CB"/>
    <w:rsid w:val="07407016"/>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7876F3B"/>
    <w:rsid w:val="2A2930B1"/>
    <w:rsid w:val="2F975391"/>
    <w:rsid w:val="31C821FE"/>
    <w:rsid w:val="359D3694"/>
    <w:rsid w:val="36470779"/>
    <w:rsid w:val="38287260"/>
    <w:rsid w:val="3D6A74B5"/>
    <w:rsid w:val="418412E2"/>
    <w:rsid w:val="41C03018"/>
    <w:rsid w:val="43397CB0"/>
    <w:rsid w:val="44985ED4"/>
    <w:rsid w:val="4ACF5564"/>
    <w:rsid w:val="4B8F3D00"/>
    <w:rsid w:val="4D6E1B30"/>
    <w:rsid w:val="4F041B97"/>
    <w:rsid w:val="4FDB754F"/>
    <w:rsid w:val="51813663"/>
    <w:rsid w:val="54515AA1"/>
    <w:rsid w:val="55505A3F"/>
    <w:rsid w:val="56D16B50"/>
    <w:rsid w:val="5AB0711C"/>
    <w:rsid w:val="5C711389"/>
    <w:rsid w:val="5F061713"/>
    <w:rsid w:val="60131B77"/>
    <w:rsid w:val="6032320B"/>
    <w:rsid w:val="61AF2525"/>
    <w:rsid w:val="61E079D7"/>
    <w:rsid w:val="621D774B"/>
    <w:rsid w:val="63644522"/>
    <w:rsid w:val="66A01205"/>
    <w:rsid w:val="68332603"/>
    <w:rsid w:val="698C40C1"/>
    <w:rsid w:val="6D0D0F9D"/>
    <w:rsid w:val="6F297F8F"/>
    <w:rsid w:val="730E7DB0"/>
    <w:rsid w:val="75A81F82"/>
    <w:rsid w:val="78862594"/>
    <w:rsid w:val="789917D0"/>
    <w:rsid w:val="7CDA7356"/>
    <w:rsid w:val="7D742106"/>
    <w:rsid w:val="7F9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98F02F-D35B-45BE-B323-CA613D67E5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10649</Words>
  <Characters>11830</Characters>
  <Lines>94</Lines>
  <Paragraphs>26</Paragraphs>
  <TotalTime>15</TotalTime>
  <ScaleCrop>false</ScaleCrop>
  <LinksUpToDate>false</LinksUpToDate>
  <CharactersWithSpaces>12098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lenovo</dc:creator>
  <cp:lastModifiedBy>Administrator</cp:lastModifiedBy>
  <cp:lastPrinted>2022-09-08T01:07:00Z</cp:lastPrinted>
  <dcterms:modified xsi:type="dcterms:W3CDTF">2022-09-22T05:47:52Z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42CD7AB28EE64F68BA725611E7B29D63</vt:lpwstr>
  </property>
</Properties>
</file>