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52"/>
          <w:szCs w:val="52"/>
          <w:lang w:val="en-US" w:eastAsia="zh-CN"/>
        </w:rPr>
      </w:pPr>
    </w:p>
    <w:p>
      <w:pPr>
        <w:spacing w:line="540" w:lineRule="exact"/>
        <w:jc w:val="center"/>
        <w:rPr>
          <w:rFonts w:hint="eastAsia" w:ascii="宋体" w:hAnsi="宋体"/>
          <w:b/>
          <w:sz w:val="52"/>
          <w:szCs w:val="52"/>
          <w:lang w:val="en-US" w:eastAsia="zh-CN"/>
        </w:rPr>
      </w:pPr>
    </w:p>
    <w:p>
      <w:pPr>
        <w:spacing w:line="540" w:lineRule="exact"/>
        <w:jc w:val="center"/>
        <w:rPr>
          <w:rFonts w:hint="eastAsia" w:ascii="宋体" w:hAnsi="宋体"/>
          <w:b/>
          <w:sz w:val="52"/>
          <w:szCs w:val="52"/>
          <w:lang w:val="en-US" w:eastAsia="zh-CN"/>
        </w:rPr>
      </w:pPr>
    </w:p>
    <w:p>
      <w:pPr>
        <w:spacing w:line="540" w:lineRule="exact"/>
        <w:jc w:val="center"/>
        <w:rPr>
          <w:rFonts w:hint="eastAsia" w:ascii="宋体" w:hAnsi="宋体"/>
          <w:b/>
          <w:sz w:val="52"/>
          <w:szCs w:val="52"/>
          <w:lang w:val="en-US" w:eastAsia="zh-CN"/>
        </w:rPr>
      </w:pPr>
    </w:p>
    <w:p>
      <w:pPr>
        <w:spacing w:line="540" w:lineRule="exact"/>
        <w:jc w:val="center"/>
        <w:rPr>
          <w:rFonts w:hint="eastAsia" w:ascii="宋体" w:hAnsi="宋体"/>
          <w:b/>
          <w:sz w:val="52"/>
          <w:szCs w:val="52"/>
          <w:lang w:val="en-US" w:eastAsia="zh-CN"/>
        </w:rPr>
      </w:pPr>
    </w:p>
    <w:p>
      <w:pPr>
        <w:spacing w:line="540" w:lineRule="exact"/>
        <w:jc w:val="center"/>
        <w:rPr>
          <w:rFonts w:hint="eastAsia" w:ascii="宋体" w:hAnsi="宋体"/>
          <w:b/>
          <w:sz w:val="52"/>
          <w:szCs w:val="52"/>
          <w:lang w:val="en-US" w:eastAsia="zh-CN"/>
        </w:rPr>
      </w:pPr>
    </w:p>
    <w:p>
      <w:pPr>
        <w:spacing w:line="540" w:lineRule="exact"/>
        <w:jc w:val="center"/>
        <w:rPr>
          <w:rFonts w:hint="eastAsia" w:ascii="宋体" w:hAnsi="宋体"/>
          <w:b/>
          <w:sz w:val="52"/>
          <w:szCs w:val="52"/>
        </w:rPr>
      </w:pPr>
      <w:r>
        <w:rPr>
          <w:rFonts w:hint="eastAsia" w:ascii="宋体" w:hAnsi="宋体"/>
          <w:b/>
          <w:sz w:val="52"/>
          <w:szCs w:val="52"/>
          <w:lang w:eastAsia="zh-CN"/>
        </w:rPr>
        <w:t>陆家镇人民政府2021</w:t>
      </w:r>
      <w:r>
        <w:rPr>
          <w:rFonts w:hint="eastAsia" w:ascii="宋体" w:hAnsi="宋体"/>
          <w:b/>
          <w:sz w:val="52"/>
          <w:szCs w:val="52"/>
        </w:rPr>
        <w:t>年度部门决算</w:t>
      </w: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黑体" w:hAnsi="黑体" w:eastAsia="黑体"/>
          <w:b/>
          <w:sz w:val="44"/>
          <w:szCs w:val="44"/>
          <w:u w:val="single"/>
        </w:rPr>
      </w:pPr>
    </w:p>
    <w:p>
      <w:pPr>
        <w:spacing w:line="540" w:lineRule="exact"/>
        <w:jc w:val="center"/>
        <w:rPr>
          <w:rFonts w:hint="eastAsia"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 </w:t>
      </w:r>
    </w:p>
    <w:p>
      <w:pPr>
        <w:numPr>
          <w:ilvl w:val="0"/>
          <w:numId w:val="2"/>
        </w:num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执行本级人民代表大会的决议和上级国家行政机关的决定和命令,发布决定和命令。</w:t>
      </w:r>
    </w:p>
    <w:p>
      <w:pPr>
        <w:numPr>
          <w:ilvl w:val="0"/>
          <w:numId w:val="2"/>
        </w:num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执行本行政区域内的经济和社会发展计划、预算,管理本行政区域内的经济、教育、科学、文化、卫生、体育事业和财政、民政、公安、司法行政、计划生育等行政工作;</w:t>
      </w:r>
    </w:p>
    <w:p>
      <w:pPr>
        <w:numPr>
          <w:ilvl w:val="0"/>
          <w:numId w:val="2"/>
        </w:num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保护社会主义的全民所有的产和动群众集体所有的财产,保护公民私人所有的合 法财产,维护社会秩序,保障公民的人身权利、民主权利和其他权利; </w:t>
      </w:r>
    </w:p>
    <w:p>
      <w:pPr>
        <w:numPr>
          <w:ilvl w:val="0"/>
          <w:numId w:val="2"/>
        </w:num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保护各种经济组织的合法权益;</w:t>
      </w:r>
    </w:p>
    <w:p>
      <w:pPr>
        <w:numPr>
          <w:ilvl w:val="0"/>
          <w:numId w:val="2"/>
        </w:num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保障少数民族的杈利和草重少数民族的风俗习惯; </w:t>
      </w:r>
    </w:p>
    <w:p>
      <w:pPr>
        <w:numPr>
          <w:ilvl w:val="0"/>
          <w:numId w:val="2"/>
        </w:num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办理上级人民政府交办的其他事项。</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某部门2021</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无</w:t>
      </w:r>
    </w:p>
    <w:p>
      <w:pPr>
        <w:spacing w:line="540" w:lineRule="exact"/>
        <w:ind w:firstLine="640" w:firstLineChars="200"/>
        <w:jc w:val="left"/>
        <w:rPr>
          <w:rFonts w:hint="eastAsia" w:ascii="仿宋_GB2312" w:eastAsia="仿宋_GB2312"/>
          <w:sz w:val="32"/>
          <w:szCs w:val="32"/>
        </w:rPr>
      </w:pPr>
    </w:p>
    <w:p>
      <w:pPr>
        <w:spacing w:line="540" w:lineRule="exact"/>
        <w:jc w:val="left"/>
        <w:rPr>
          <w:rFonts w:hint="eastAsia" w:ascii="仿宋_GB2312" w:eastAsia="仿宋_GB2312"/>
          <w:sz w:val="32"/>
          <w:szCs w:val="32"/>
        </w:rPr>
      </w:pPr>
    </w:p>
    <w:p>
      <w:pPr>
        <w:spacing w:line="540" w:lineRule="exact"/>
        <w:ind w:firstLine="640" w:firstLineChars="200"/>
        <w:jc w:val="both"/>
        <w:rPr>
          <w:rFonts w:hint="eastAsia" w:ascii="宋体" w:hAnsi="宋体"/>
          <w:b/>
          <w:sz w:val="36"/>
          <w:szCs w:val="36"/>
        </w:rPr>
      </w:pPr>
      <w:r>
        <w:rPr>
          <w:rFonts w:ascii="仿宋_GB2312" w:eastAsia="仿宋_GB2312"/>
          <w:sz w:val="32"/>
          <w:szCs w:val="32"/>
        </w:rP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2021</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3125.84</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3125.84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3125.84</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50.29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黑体" w:hAnsi="黑体" w:eastAsia="黑体"/>
          <w:sz w:val="32"/>
          <w:szCs w:val="32"/>
          <w:lang w:eastAsia="zh-CN"/>
        </w:rPr>
        <w:t>收入有所下降</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3125.84</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1244.15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39.8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780.38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25.66</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438.11</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1881.69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60.2</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m民宿改造、垃圾场清理、2019-2020年高标准农田项目</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50.29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黑体" w:hAnsi="黑体" w:eastAsia="黑体"/>
          <w:sz w:val="32"/>
          <w:szCs w:val="32"/>
          <w:lang w:eastAsia="zh-CN"/>
        </w:rPr>
        <w:t>收入有所下降</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等原因形成的结余。与上年相比，今年结转结余增加（减少）</w:t>
      </w:r>
      <w:r>
        <w:rPr>
          <w:rFonts w:hint="eastAsia" w:ascii="仿宋_GB2312" w:hAnsi="宋体" w:eastAsia="仿宋_GB2312"/>
          <w:sz w:val="32"/>
          <w:szCs w:val="32"/>
          <w:lang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eastAsia="zh-CN"/>
        </w:rPr>
        <w:t>0</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0</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黑体" w:hAnsi="黑体" w:eastAsia="黑体"/>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bookmarkStart w:id="0" w:name="_GoBack"/>
      <w:bookmarkEnd w:id="0"/>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3125.84</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1244.15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1881.69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今年收入减少</w:t>
      </w:r>
      <w:r>
        <w:rPr>
          <w:rFonts w:hint="eastAsia" w:ascii="仿宋_GB2312" w:hAnsi="宋体" w:eastAsia="仿宋_GB2312"/>
          <w:sz w:val="32"/>
          <w:szCs w:val="32"/>
          <w:lang w:val="en-US" w:eastAsia="zh-CN"/>
        </w:rPr>
        <w:t>50.29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黑体" w:hAnsi="黑体" w:eastAsia="黑体"/>
          <w:sz w:val="32"/>
          <w:szCs w:val="32"/>
          <w:lang w:eastAsia="zh-CN"/>
        </w:rPr>
        <w:t>收入有所下降</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212</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161</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267</w:t>
      </w:r>
      <w:r>
        <w:rPr>
          <w:rFonts w:hint="eastAsia" w:ascii="仿宋_GB2312" w:hAnsi="宋体" w:eastAsia="仿宋_GB2312"/>
          <w:sz w:val="32"/>
          <w:szCs w:val="32"/>
        </w:rPr>
        <w:t>%。</w:t>
      </w:r>
    </w:p>
    <w:p>
      <w:pPr>
        <w:spacing w:line="540" w:lineRule="exact"/>
        <w:ind w:firstLine="660"/>
        <w:rPr>
          <w:rFonts w:hint="default" w:ascii="楷体_GB2312" w:hAnsi="宋体" w:eastAsia="楷体_GB2312"/>
          <w:b/>
          <w:sz w:val="32"/>
          <w:szCs w:val="32"/>
          <w:lang w:val="en-US" w:eastAsia="zh-CN"/>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3125.84</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856.79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27.41</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公共安全支出</w:t>
      </w:r>
      <w:r>
        <w:rPr>
          <w:rFonts w:hint="eastAsia" w:ascii="仿宋_GB2312" w:hAnsi="宋体" w:eastAsia="仿宋_GB2312"/>
          <w:sz w:val="32"/>
          <w:szCs w:val="32"/>
          <w:lang w:val="en-US" w:eastAsia="zh-CN"/>
        </w:rPr>
        <w:t>59.84万元，占1.9%；教育支出1.3万元，占0.04%；文化旅游体育与传媒支出1.62万元，占0.05%；抚恤支出21.49万元，占0.69%；卫生健康支出22.11万元，占0.7%；节能环保支出161.91万元，占5%；农林水支出1470.98万元，占47%；住房保障支出28.58万元，占1%。</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856.79</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项）856.79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人员经费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158</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收入有所增加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.公共安全支出</w:t>
      </w:r>
      <w:r>
        <w:rPr>
          <w:rFonts w:hint="eastAsia" w:ascii="仿宋_GB2312" w:hAnsi="宋体" w:eastAsia="仿宋_GB2312"/>
          <w:sz w:val="32"/>
          <w:szCs w:val="32"/>
          <w:lang w:val="en-US" w:eastAsia="zh-CN"/>
        </w:rPr>
        <w:t>59.84万元，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831</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支出有所增加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3.教育支出1.3万元，</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收入有所增加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4.文化旅游体育与传媒支出1.62万元，</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收入有所增加</w:t>
      </w:r>
      <w:r>
        <w:rPr>
          <w:rFonts w:hint="eastAsia" w:ascii="仿宋_GB2312" w:hAnsi="宋体" w:eastAsia="仿宋_GB2312"/>
          <w:sz w:val="32"/>
          <w:szCs w:val="32"/>
        </w:rPr>
        <w:t>。</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5社会保障和就业支出521.72万元，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222</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支出有所增加</w:t>
      </w:r>
      <w:r>
        <w:rPr>
          <w:rFonts w:hint="eastAsia" w:ascii="仿宋_GB2312" w:hAnsi="宋体" w:eastAsia="仿宋_GB2312"/>
          <w:sz w:val="32"/>
          <w:szCs w:val="32"/>
        </w:rPr>
        <w:t>。</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6.卫生健康支出22.11万元，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93.44</w:t>
      </w:r>
      <w:r>
        <w:rPr>
          <w:rFonts w:hint="eastAsia" w:ascii="仿宋_GB2312" w:hAnsi="宋体" w:eastAsia="仿宋_GB2312"/>
          <w:sz w:val="32"/>
          <w:szCs w:val="32"/>
        </w:rPr>
        <w:t>%，决算数</w:t>
      </w:r>
      <w:r>
        <w:rPr>
          <w:rFonts w:hint="eastAsia" w:ascii="仿宋_GB2312" w:hAnsi="宋体" w:eastAsia="仿宋_GB2312"/>
          <w:sz w:val="32"/>
          <w:szCs w:val="32"/>
          <w:lang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支出有所减少</w:t>
      </w:r>
      <w:r>
        <w:rPr>
          <w:rFonts w:hint="eastAsia" w:ascii="仿宋_GB2312" w:hAnsi="宋体" w:eastAsia="仿宋_GB2312"/>
          <w:sz w:val="32"/>
          <w:szCs w:val="32"/>
        </w:rPr>
        <w:t>。</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7.节能环保支出161.91万元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27</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支出有所减少</w:t>
      </w:r>
      <w:r>
        <w:rPr>
          <w:rFonts w:hint="eastAsia" w:ascii="仿宋_GB2312" w:hAnsi="宋体" w:eastAsia="仿宋_GB2312"/>
          <w:sz w:val="32"/>
          <w:szCs w:val="32"/>
        </w:rPr>
        <w:t>。</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8.农林水支出1470.98万元，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4254</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eastAsia="zh-CN"/>
        </w:rPr>
        <w:t>大型项目投入增加</w:t>
      </w:r>
      <w:r>
        <w:rPr>
          <w:rFonts w:hint="eastAsia" w:ascii="仿宋_GB2312" w:hAnsi="宋体" w:eastAsia="仿宋_GB2312"/>
          <w:sz w:val="32"/>
          <w:szCs w:val="32"/>
        </w:rPr>
        <w:t>。</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9.住房保障支出28.58万元，</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96</w:t>
      </w:r>
      <w:r>
        <w:rPr>
          <w:rFonts w:hint="eastAsia" w:ascii="仿宋_GB2312" w:hAnsi="宋体" w:eastAsia="仿宋_GB2312"/>
          <w:sz w:val="32"/>
          <w:szCs w:val="32"/>
        </w:rPr>
        <w:t>%，决算数</w:t>
      </w:r>
      <w:r>
        <w:rPr>
          <w:rFonts w:hint="eastAsia" w:ascii="仿宋_GB2312" w:hAnsi="宋体" w:eastAsia="仿宋_GB2312"/>
          <w:sz w:val="32"/>
          <w:szCs w:val="32"/>
          <w:lang w:eastAsia="zh-CN"/>
        </w:rPr>
        <w:t>小于</w:t>
      </w:r>
      <w:r>
        <w:rPr>
          <w:rFonts w:hint="eastAsia" w:ascii="仿宋_GB2312" w:hAnsi="宋体" w:eastAsia="仿宋_GB2312"/>
          <w:sz w:val="32"/>
          <w:szCs w:val="32"/>
        </w:rPr>
        <w:t>年初预算数的原因主要是</w:t>
      </w:r>
      <w:r>
        <w:rPr>
          <w:rFonts w:hint="eastAsia" w:ascii="仿宋_GB2312" w:hAnsi="宋体" w:eastAsia="仿宋_GB2312"/>
          <w:sz w:val="32"/>
          <w:szCs w:val="32"/>
          <w:lang w:eastAsia="zh-CN"/>
        </w:rPr>
        <w:t>收入有所增加</w:t>
      </w:r>
      <w:r>
        <w:rPr>
          <w:rFonts w:hint="eastAsia" w:ascii="仿宋_GB2312" w:hAnsi="宋体" w:eastAsia="仿宋_GB2312"/>
          <w:sz w:val="32"/>
          <w:szCs w:val="32"/>
        </w:rPr>
        <w:t>。</w:t>
      </w:r>
    </w:p>
    <w:p>
      <w:pPr>
        <w:spacing w:line="540" w:lineRule="exact"/>
        <w:ind w:firstLine="321" w:firstLineChars="10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eastAsia="zh-CN"/>
        </w:rPr>
        <w:t>0</w:t>
      </w:r>
      <w:r>
        <w:rPr>
          <w:rFonts w:hint="eastAsia" w:ascii="仿宋_GB2312" w:hAnsi="宋体" w:eastAsia="仿宋_GB2312"/>
          <w:sz w:val="32"/>
          <w:szCs w:val="32"/>
        </w:rPr>
        <w:t>万元，按支出功能分类科目分，包括。</w:t>
      </w:r>
    </w:p>
    <w:p>
      <w:pPr>
        <w:spacing w:line="540" w:lineRule="exact"/>
        <w:ind w:firstLine="321" w:firstLineChars="10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eastAsia="zh-CN"/>
        </w:rPr>
        <w:t>0</w:t>
      </w:r>
      <w:r>
        <w:rPr>
          <w:rFonts w:hint="eastAsia" w:ascii="仿宋_GB2312" w:hAnsi="宋体" w:eastAsia="仿宋_GB2312"/>
          <w:sz w:val="32"/>
          <w:szCs w:val="32"/>
        </w:rPr>
        <w:t>万元，按支出功能分类科目分，包括。</w:t>
      </w:r>
    </w:p>
    <w:p>
      <w:pPr>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万元，完成年初预算的</w:t>
      </w:r>
      <w:r>
        <w:rPr>
          <w:rFonts w:hint="eastAsia" w:ascii="仿宋_GB2312" w:hAnsi="宋体" w:eastAsia="仿宋_GB2312"/>
          <w:sz w:val="32"/>
          <w:szCs w:val="32"/>
          <w:lang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eastAsia="zh-CN"/>
        </w:rPr>
        <w:t>0</w:t>
      </w:r>
      <w:r>
        <w:rPr>
          <w:rFonts w:hint="eastAsia" w:ascii="仿宋_GB2312" w:hAnsi="宋体" w:eastAsia="仿宋_GB2312"/>
          <w:sz w:val="32"/>
          <w:szCs w:val="32"/>
        </w:rPr>
        <w:t>。其中：因公出国（境）费</w:t>
      </w:r>
      <w:r>
        <w:rPr>
          <w:rFonts w:hint="eastAsia" w:ascii="仿宋_GB2312" w:hAnsi="宋体" w:eastAsia="仿宋_GB2312"/>
          <w:sz w:val="32"/>
          <w:szCs w:val="32"/>
          <w:lang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年参加出国（境）团组</w:t>
      </w:r>
      <w:r>
        <w:rPr>
          <w:rFonts w:hint="eastAsia" w:ascii="仿宋_GB2312" w:hAnsi="宋体" w:eastAsia="仿宋_GB2312"/>
          <w:sz w:val="32"/>
          <w:szCs w:val="32"/>
          <w:lang w:eastAsia="zh-CN"/>
        </w:rPr>
        <w:t>0</w:t>
      </w:r>
      <w:r>
        <w:rPr>
          <w:rFonts w:hint="eastAsia" w:ascii="仿宋_GB2312" w:hAnsi="宋体" w:eastAsia="仿宋_GB2312"/>
          <w:sz w:val="32"/>
          <w:szCs w:val="32"/>
        </w:rPr>
        <w:t>个，累计</w:t>
      </w:r>
      <w:r>
        <w:rPr>
          <w:rFonts w:hint="eastAsia" w:ascii="仿宋_GB2312" w:hAnsi="宋体" w:eastAsia="仿宋_GB2312"/>
          <w:sz w:val="32"/>
          <w:szCs w:val="32"/>
          <w:lang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w:t>
      </w:r>
      <w:r>
        <w:rPr>
          <w:rFonts w:hint="eastAsia" w:ascii="仿宋_GB2312" w:hAnsi="宋体" w:eastAsia="仿宋_GB2312"/>
          <w:sz w:val="32"/>
          <w:szCs w:val="32"/>
          <w:lang w:eastAsia="zh-CN"/>
        </w:rPr>
        <w:t>0</w:t>
      </w:r>
      <w:r>
        <w:rPr>
          <w:rFonts w:hint="eastAsia" w:ascii="仿宋_GB2312" w:hAnsi="宋体" w:eastAsia="仿宋_GB2312"/>
          <w:sz w:val="32"/>
          <w:szCs w:val="32"/>
          <w:lang w:val="en-US" w:eastAsia="zh-CN"/>
        </w:rPr>
        <w:t>团</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年国内公务接待累计</w:t>
      </w:r>
      <w:r>
        <w:rPr>
          <w:rFonts w:hint="eastAsia" w:ascii="仿宋_GB2312" w:hAnsi="宋体" w:eastAsia="仿宋_GB2312"/>
          <w:sz w:val="32"/>
          <w:szCs w:val="32"/>
          <w:lang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eastAsia="zh-CN"/>
        </w:rPr>
        <w:t>0</w:t>
      </w:r>
      <w:r>
        <w:rPr>
          <w:rFonts w:hint="eastAsia" w:ascii="仿宋_GB2312" w:hAnsi="宋体" w:eastAsia="仿宋_GB2312"/>
          <w:sz w:val="32"/>
          <w:szCs w:val="32"/>
        </w:rPr>
        <w:t>。比上年减少（增加）</w:t>
      </w:r>
      <w:r>
        <w:rPr>
          <w:rFonts w:hint="eastAsia" w:ascii="仿宋_GB2312" w:hAnsi="宋体" w:eastAsia="仿宋_GB2312"/>
          <w:sz w:val="32"/>
          <w:szCs w:val="32"/>
          <w:lang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1244.15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806.04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438.11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438.11</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127.64</w:t>
      </w:r>
      <w:r>
        <w:rPr>
          <w:rFonts w:hint="eastAsia" w:ascii="仿宋_GB2312" w:hAnsi="黑体" w:eastAsia="仿宋_GB2312"/>
          <w:sz w:val="32"/>
          <w:szCs w:val="32"/>
        </w:rPr>
        <w:t>万元，增长（降低）</w:t>
      </w:r>
      <w:r>
        <w:rPr>
          <w:rFonts w:hint="eastAsia" w:ascii="仿宋_GB2312" w:hAnsi="黑体" w:eastAsia="仿宋_GB2312"/>
          <w:sz w:val="32"/>
          <w:szCs w:val="32"/>
          <w:lang w:val="en-US" w:eastAsia="zh-CN"/>
        </w:rPr>
        <w:t>41.11</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支出有所增加</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年政府采购支出总额</w:t>
      </w:r>
      <w:r>
        <w:rPr>
          <w:rFonts w:hint="eastAsia" w:ascii="仿宋_GB2312" w:hAnsi="黑体" w:eastAsia="仿宋_GB2312"/>
          <w:sz w:val="32"/>
          <w:szCs w:val="32"/>
          <w:lang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sz w:val="32"/>
          <w:szCs w:val="32"/>
          <w:lang w:eastAsia="zh-CN"/>
        </w:rPr>
        <w:t>0</w:t>
      </w:r>
      <w:r>
        <w:rPr>
          <w:rFonts w:hint="eastAsia" w:ascii="仿宋_GB2312" w:eastAsia="仿宋_GB2312"/>
          <w:sz w:val="32"/>
          <w:szCs w:val="32"/>
        </w:rPr>
        <w:t>%，其中：授予小微企业合同金额</w:t>
      </w:r>
      <w:r>
        <w:rPr>
          <w:rFonts w:hint="eastAsia" w:ascii="仿宋_GB2312" w:eastAsia="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sz w:val="32"/>
          <w:szCs w:val="32"/>
          <w:lang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年12月31日，共有车辆</w:t>
      </w:r>
      <w:r>
        <w:rPr>
          <w:rFonts w:hint="eastAsia" w:ascii="仿宋_GB2312" w:hAnsi="黑体" w:eastAsia="仿宋_GB2312"/>
          <w:sz w:val="32"/>
          <w:szCs w:val="32"/>
          <w:lang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eastAsia="zh-CN"/>
        </w:rPr>
        <w:t>0</w:t>
      </w:r>
      <w:r>
        <w:rPr>
          <w:rFonts w:hint="eastAsia" w:ascii="仿宋_GB2312" w:hAnsi="黑体" w:eastAsia="仿宋_GB2312"/>
          <w:sz w:val="32"/>
          <w:szCs w:val="32"/>
        </w:rPr>
        <w:t>辆，其他用车主要</w:t>
      </w:r>
      <w:r>
        <w:rPr>
          <w:rFonts w:hint="eastAsia" w:ascii="仿宋_GB2312" w:hAnsi="黑体" w:eastAsia="仿宋_GB2312"/>
          <w:sz w:val="32"/>
          <w:szCs w:val="32"/>
          <w:lang w:eastAsia="zh-CN"/>
        </w:rPr>
        <w:t>是</w:t>
      </w:r>
      <w:r>
        <w:rPr>
          <w:rFonts w:hint="eastAsia" w:ascii="仿宋_GB2312" w:hAnsi="黑体" w:eastAsia="仿宋_GB2312"/>
          <w:sz w:val="32"/>
          <w:szCs w:val="32"/>
        </w:rPr>
        <w:t>；单位价值50万元以上通用设备</w:t>
      </w:r>
      <w:r>
        <w:rPr>
          <w:rFonts w:hint="eastAsia" w:ascii="仿宋_GB2312" w:hAnsi="黑体" w:eastAsia="仿宋_GB2312"/>
          <w:sz w:val="32"/>
          <w:szCs w:val="32"/>
          <w:lang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年度预算项目支出全面开展绩效自评，共涉及预算支出项目3个，涉及资金705.76万元，自评覆盖率（开展绩效自评的项目数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/年初批复绩效目标的项目数）达到10</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100分。</w:t>
      </w: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rPr>
        <w:t>组织对</w:t>
      </w:r>
      <w:r>
        <w:rPr>
          <w:rFonts w:hint="eastAsia" w:ascii="仿宋" w:hAnsi="仿宋" w:eastAsia="仿宋"/>
          <w:sz w:val="32"/>
          <w:highlight w:val="none"/>
          <w:lang w:val="en-US" w:eastAsia="zh-CN"/>
        </w:rPr>
        <w:t>3</w:t>
      </w:r>
      <w:r>
        <w:rPr>
          <w:rFonts w:hint="eastAsia" w:ascii="仿宋" w:hAnsi="仿宋" w:eastAsia="仿宋"/>
          <w:sz w:val="32"/>
          <w:highlight w:val="none"/>
        </w:rPr>
        <w:t>个项目开展了部门评价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705.76</w:t>
      </w:r>
      <w:r>
        <w:rPr>
          <w:rFonts w:hint="eastAsia" w:hAnsi="宋体" w:eastAsia="仿宋_GB2312" w:cs="仿宋_GB2312"/>
          <w:color w:val="auto"/>
          <w:kern w:val="2"/>
          <w:sz w:val="32"/>
          <w:szCs w:val="32"/>
          <w:highlight w:val="none"/>
          <w:shd w:val="clear" w:color="auto" w:fill="auto"/>
          <w:lang w:val="en-US" w:eastAsia="zh-CN" w:bidi="ar"/>
        </w:rPr>
        <w:t>万元。通过部门绩效评价发现主要存在以下问题：加强资金绩效管理。</w:t>
      </w:r>
      <w:r>
        <w:rPr>
          <w:rFonts w:hint="eastAsia" w:ascii="仿宋_GB2312" w:hAnsi="宋体" w:eastAsia="仿宋_GB2312" w:cs="仿宋_GB2312"/>
          <w:color w:val="auto"/>
          <w:kern w:val="2"/>
          <w:sz w:val="32"/>
          <w:szCs w:val="32"/>
          <w:highlight w:val="none"/>
          <w:shd w:val="clear" w:color="auto" w:fill="auto"/>
          <w:lang w:val="en-US" w:eastAsia="zh-CN" w:bidi="ar"/>
        </w:rPr>
        <w:t>下一步将采取以下措施加以改进：时刻追踪资金效能。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（1）“0X”项目自评综述：根据年初设定的绩效目标，项目自评得分100分。项目全年预算数为705.76万元，执行数为</w:t>
      </w:r>
      <w:r>
        <w:rPr>
          <w:rFonts w:hint="eastAsia" w:ascii="仿宋_GB2312" w:hAnsi="宋体" w:eastAsia="仿宋_GB2312"/>
          <w:sz w:val="32"/>
          <w:szCs w:val="32"/>
          <w:lang w:val="en-US" w:eastAsia="zh-CN"/>
        </w:rPr>
        <w:t>1881.69</w:t>
      </w:r>
      <w:r>
        <w:rPr>
          <w:rFonts w:hint="eastAsia" w:ascii="仿宋_GB2312" w:hAnsi="宋体" w:eastAsia="仿宋_GB2312" w:cs="仿宋_GB2312"/>
          <w:color w:val="auto"/>
          <w:kern w:val="2"/>
          <w:sz w:val="32"/>
          <w:szCs w:val="32"/>
          <w:highlight w:val="none"/>
          <w:shd w:val="clear" w:color="auto" w:fill="auto"/>
          <w:lang w:val="en-US" w:eastAsia="zh-CN" w:bidi="ar"/>
        </w:rPr>
        <w:t>万元，完成预算的267%。项目绩效目标完成情况：</w:t>
      </w:r>
      <w:r>
        <w:rPr>
          <w:rFonts w:hint="eastAsia" w:ascii="仿宋" w:hAnsi="仿宋" w:eastAsia="仿宋" w:cs="仿宋"/>
          <w:b w:val="0"/>
          <w:bCs w:val="0"/>
          <w:color w:val="auto"/>
          <w:kern w:val="2"/>
          <w:sz w:val="32"/>
          <w:szCs w:val="32"/>
          <w:highlight w:val="none"/>
          <w:shd w:val="clear" w:color="auto" w:fill="auto"/>
          <w:lang w:val="en-US" w:eastAsia="zh-CN" w:bidi="ar"/>
        </w:rPr>
        <w:t>按照年初预算全部完成</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发现的主要问题及原因：</w:t>
      </w:r>
      <w:r>
        <w:rPr>
          <w:rFonts w:hint="eastAsia" w:hAnsi="宋体" w:eastAsia="仿宋_GB2312" w:cs="仿宋_GB2312"/>
          <w:color w:val="auto"/>
          <w:kern w:val="2"/>
          <w:sz w:val="32"/>
          <w:szCs w:val="32"/>
          <w:highlight w:val="none"/>
          <w:shd w:val="clear" w:color="auto" w:fill="auto"/>
          <w:lang w:val="en-US" w:eastAsia="zh-CN" w:bidi="ar"/>
        </w:rPr>
        <w:t>加强预算精细化管理，业务水平有待提高</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。下一步改进措施：提高人员业务水平。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 xml:space="preserve">（2）“0X”项目自评综述：(1) </w:t>
      </w:r>
      <w:r>
        <w:rPr>
          <w:rFonts w:hint="eastAsia" w:ascii="仿宋" w:hAnsi="仿宋" w:eastAsia="仿宋" w:cs="仿宋"/>
          <w:i w:val="0"/>
          <w:iCs w:val="0"/>
          <w:color w:val="000000"/>
          <w:kern w:val="0"/>
          <w:sz w:val="32"/>
          <w:szCs w:val="32"/>
          <w:u w:val="none"/>
          <w:lang w:val="en-US" w:eastAsia="zh-CN" w:bidi="ar"/>
        </w:rPr>
        <w:t>政府日常运转、维修及健身广场器材等</w:t>
      </w:r>
      <w:r>
        <w:rPr>
          <w:rFonts w:hint="eastAsia" w:ascii="仿宋" w:hAnsi="仿宋" w:eastAsia="仿宋" w:cs="仿宋"/>
          <w:color w:val="auto"/>
          <w:kern w:val="2"/>
          <w:sz w:val="32"/>
          <w:szCs w:val="32"/>
          <w:highlight w:val="none"/>
          <w:shd w:val="clear" w:color="auto" w:fill="auto"/>
          <w:lang w:val="en-US" w:eastAsia="zh-CN" w:bidi="ar"/>
        </w:rPr>
        <w:t>；(2) 民宿改造、垃圾场清理、排污、维修工程；（3）任家村土地流转、赵家村水土污染、高标准农田建设项目。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仿宋_GB2312" w:hAnsi="宋体" w:eastAsia="仿宋_GB2312" w:cs="仿宋_GB2312"/>
          <w:color w:val="auto"/>
          <w:kern w:val="2"/>
          <w:sz w:val="32"/>
          <w:szCs w:val="32"/>
          <w:highlight w:val="none"/>
          <w:shd w:val="clear" w:color="auto" w:fill="auto"/>
          <w:lang w:val="en-US" w:eastAsia="zh-CN" w:bidi="ar"/>
        </w:rPr>
        <w:drawing>
          <wp:anchor distT="0" distB="0" distL="114300" distR="114300" simplePos="0" relativeHeight="251660288" behindDoc="0" locked="0" layoutInCell="1" allowOverlap="1">
            <wp:simplePos x="0" y="0"/>
            <wp:positionH relativeFrom="column">
              <wp:align>center</wp:align>
            </wp:positionH>
            <wp:positionV relativeFrom="paragraph">
              <wp:posOffset>80010</wp:posOffset>
            </wp:positionV>
            <wp:extent cx="6411595" cy="6794500"/>
            <wp:effectExtent l="0" t="0" r="8255" b="6350"/>
            <wp:wrapNone/>
            <wp:docPr id="3" name="图片 3"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整体自评表模版_00"/>
                    <pic:cNvPicPr>
                      <a:picLocks noChangeAspect="1"/>
                    </pic:cNvPicPr>
                  </pic:nvPicPr>
                  <pic:blipFill>
                    <a:blip r:embed="rId6"/>
                    <a:srcRect t="8415" b="16714"/>
                    <a:stretch>
                      <a:fillRect/>
                    </a:stretch>
                  </pic:blipFill>
                  <pic:spPr>
                    <a:xfrm>
                      <a:off x="0" y="0"/>
                      <a:ext cx="6411595" cy="679450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宋体" w:hAnsi="宋体"/>
          <w:b/>
          <w:sz w:val="36"/>
          <w:szCs w:val="36"/>
        </w:rPr>
      </w:pPr>
      <w:r>
        <w:rPr>
          <w:rFonts w:hint="eastAsia" w:ascii="仿宋_GB2312" w:hAnsi="宋体" w:eastAsia="仿宋_GB2312" w:cs="仿宋_GB2312"/>
          <w:b/>
          <w:bCs/>
          <w:color w:val="auto"/>
          <w:kern w:val="2"/>
          <w:sz w:val="32"/>
          <w:szCs w:val="32"/>
          <w:highlight w:val="none"/>
          <w:shd w:val="clear" w:color="auto" w:fill="auto"/>
          <w:lang w:val="en-US" w:eastAsia="zh-CN" w:bidi="ar"/>
        </w:rPr>
        <w:br w:type="page"/>
      </w:r>
      <w:r>
        <w:rPr>
          <w:rFonts w:ascii="宋体" w:hAnsi="宋体"/>
          <w:b/>
          <w:sz w:val="36"/>
          <w:szCs w:val="36"/>
        </w:rPr>
        <w:drawing>
          <wp:anchor distT="0" distB="0" distL="114300" distR="114300" simplePos="0" relativeHeight="251659264" behindDoc="0" locked="0" layoutInCell="1" allowOverlap="1">
            <wp:simplePos x="0" y="0"/>
            <wp:positionH relativeFrom="page">
              <wp:posOffset>852170</wp:posOffset>
            </wp:positionH>
            <wp:positionV relativeFrom="page">
              <wp:posOffset>942975</wp:posOffset>
            </wp:positionV>
            <wp:extent cx="5757545" cy="8148955"/>
            <wp:effectExtent l="0" t="0" r="14605" b="4445"/>
            <wp:wrapNone/>
            <wp:docPr id="1"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项目自评表模版_00"/>
                    <pic:cNvPicPr>
                      <a:picLocks noChangeAspect="1"/>
                    </pic:cNvPicPr>
                  </pic:nvPicPr>
                  <pic:blipFill>
                    <a:blip r:embed="rId7"/>
                    <a:stretch>
                      <a:fillRect/>
                    </a:stretch>
                  </pic:blipFill>
                  <pic:spPr>
                    <a:xfrm>
                      <a:off x="0" y="0"/>
                      <a:ext cx="5757545" cy="8148955"/>
                    </a:xfrm>
                    <a:prstGeom prst="rect">
                      <a:avLst/>
                    </a:prstGeom>
                    <a:noFill/>
                    <a:ln>
                      <a:noFill/>
                    </a:ln>
                  </pic:spPr>
                </pic:pic>
              </a:graphicData>
            </a:graphic>
          </wp:anchor>
        </w:drawing>
      </w: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ind w:firstLine="640" w:firstLineChars="200"/>
        <w:jc w:val="left"/>
        <w:rPr>
          <w:rFonts w:hint="eastAsia" w:ascii="仿宋_GB2312" w:eastAsia="仿宋_GB2312"/>
          <w:i/>
          <w:sz w:val="32"/>
          <w:szCs w:val="32"/>
          <w:u w:val="single"/>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eastAsia="zh-CN"/>
        </w:rPr>
        <w:t>2021</w:t>
      </w:r>
      <w:r>
        <w:rPr>
          <w:rFonts w:hint="eastAsia" w:ascii="宋体" w:hAnsi="宋体"/>
          <w:b/>
          <w:sz w:val="52"/>
          <w:szCs w:val="52"/>
        </w:rPr>
        <w:t>年度部门决算表</w:t>
      </w:r>
    </w:p>
    <w:p>
      <w:pPr>
        <w:spacing w:line="540" w:lineRule="exact"/>
        <w:jc w:val="left"/>
        <w:rPr>
          <w:sz w:val="32"/>
          <w:szCs w:val="32"/>
        </w:rPr>
      </w:pPr>
    </w:p>
    <w:p>
      <w:pPr>
        <w:spacing w:line="540" w:lineRule="exact"/>
        <w:rPr>
          <w:sz w:val="32"/>
          <w:szCs w:val="32"/>
        </w:rPr>
      </w:pPr>
    </w:p>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YjExNjYwM2RiYWFjNDJiMDEyN2NhM2RhZjM4NmIifQ=="/>
  </w:docVars>
  <w:rsids>
    <w:rsidRoot w:val="790C7FA5"/>
    <w:rsid w:val="00CA613C"/>
    <w:rsid w:val="07CC09EB"/>
    <w:rsid w:val="0E9B1118"/>
    <w:rsid w:val="0FAB2C6F"/>
    <w:rsid w:val="12060872"/>
    <w:rsid w:val="1F3709E9"/>
    <w:rsid w:val="1F947BE9"/>
    <w:rsid w:val="20192570"/>
    <w:rsid w:val="2B964CE9"/>
    <w:rsid w:val="2C033EC3"/>
    <w:rsid w:val="33F63533"/>
    <w:rsid w:val="3E285C74"/>
    <w:rsid w:val="4F6701FB"/>
    <w:rsid w:val="5066262C"/>
    <w:rsid w:val="6BBF1117"/>
    <w:rsid w:val="6DF80910"/>
    <w:rsid w:val="6F141779"/>
    <w:rsid w:val="790C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4920</Words>
  <Characters>5378</Characters>
  <Lines>0</Lines>
  <Paragraphs>0</Paragraphs>
  <TotalTime>4</TotalTime>
  <ScaleCrop>false</ScaleCrop>
  <LinksUpToDate>false</LinksUpToDate>
  <CharactersWithSpaces>5409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2022-08-23T01:51:00Z</dcterms:created>
  <dc:creator>Administrator</dc:creator>
  <cp:lastModifiedBy>Administrator</cp:lastModifiedBy>
  <dcterms:modified xsi:type="dcterms:W3CDTF">2022-08-26T06:56:15Z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E7C9D6D9AA7B4A74A4FF00123BE16F52</vt:lpwstr>
  </property>
</Properties>
</file>