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盘锦市商务局</w:t>
      </w: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2021年度政府信息公开工作报告</w:t>
      </w:r>
    </w:p>
    <w:p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642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年，市商务局在市委、市政府的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领导下，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在市政务公开办的有力指导下，坚持以习近平新时代中国特色社会主义思想为指导，深入贯彻落实国家、省、市关于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部署和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要求，不断丰富公开内容，拓宽公开形式，增强公开质量和实效，全面推进政府信息公开工作，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较好地完成了年度工作任务。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（一）领导重视情况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局领导高度重视政府信息公开工作，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将其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列入重要议事日程，坚决贯彻落实市委、市政府关于政府信息公开工作的决策部署，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与业务工作齐部署共落实，不断建立健全政府信息公开工作机制，完善局机关政府信息公开工作。根据工作变动，及时调整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政务公开工作领导小组成员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，各成员根据职责分工抓好工作落实，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形成齐抓共管的良好工作局面，为我局工作有力有序开展奠定良好基础。</w:t>
      </w:r>
    </w:p>
    <w:p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（二）制度建设情况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根据政府信息公开相关工作要求，结合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我市商务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工作实际，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制定并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不断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完善了《市商务局政府信息公开保密审查制度》、《市商务局重大决策预公开制度》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、《市商务局信息公开三审三核制度》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等系列工作制度，严格按照制度要求认真开展工作，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以制度为抓手，用机制做保障，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切实提升工作的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制度性、规范性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    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信息公开情况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“应公开、尽公开、应上网、尽上网”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的原则，主动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单位职责、履职依据、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班子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分工、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机构设置、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联系方式、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权责清单、政策解读、预算和决算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进行公开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。全年共通过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政务公开平台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通知公告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栏目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发布信息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“消费市场”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栏目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发布信息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条，通过“盘锦商务”微信公众号发布信息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内容主要包括商务发展、消费市场、招商动态、疫情防控等方面信息。通过信息主动公开，使公众更加深入地了解我市商务工作以及商务领域的惠民利企政策，也为进一步稳定疫情防控新常态下市场预期起到了良好的作用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2.依申请公开情况。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严格按照新修订的《政府信息公开条例》相关要求，履行法定职责和义务，制定并公开了《盘锦市商务局依申请公开说明》、《盘锦市商务局政府信息公开申请表》，进一步规范政府信息公开申请受理渠道、办理程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3.推进“互联网+政务服务”工作情况。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推进政务服务“一网通办”，不断优化服务流程。起草制定了《市商务局关于推进政务服务“一网通办”的工作实施方案》，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坚持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“应进必进”原则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“三集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中、三到位”工作要求，审批服务事项全部进驻市政务服务中心，并对行政审批事项办理流程进行公示说明，实现审批事项高效办理、电子平台实时监察。 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4.建议提案办理结果公开情况。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按照“公开前沟通、公开中把关、公开后复审”的要求，全年共办理人大代表建议主办件1件、政协提案主办件3件，办复率、见面率、满意率均达到100％，建议和提案全部公开。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5.开展政策解读情况。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我局在政务公开平台设置了政策解读栏目，对公开的规范性文件全部及时准确进行解读，主动回应社会关切，推进政策落实，让社会公众更好地知晓、理解我局制定的文件内容和工作举措。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6.开展“5.15”政务公开日活动情况。</w:t>
      </w:r>
    </w:p>
    <w:p>
      <w:pPr>
        <w:ind w:firstLine="64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按照《盘锦市人民政府办公室关于开展第十五届“5·15政务公开日”活动的通知》要求，以及市政务公开办的统一安排部署，市商务局切实提高思想认识，提前谋划，积极部署，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集中宣传和线上主题宣传等手段，对我局政务服务事项办理以及利民惠民举措，相关法律法规和规章制度等进行宣传，进一步推进我局政务公开工作规范化、便民化，不断提升公众通过政务公开了解政府、监督政府的意识，营造了良好的政务公开工作氛围，取得了较好的工作成效。</w:t>
      </w:r>
    </w:p>
    <w:p>
      <w:pPr>
        <w:ind w:firstLine="640"/>
        <w:rPr>
          <w:rFonts w:hint="eastAsia"/>
          <w:lang w:val="zh-C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二、主动公开政府信息的情况</w:t>
      </w:r>
    </w:p>
    <w:tbl>
      <w:tblPr>
        <w:tblStyle w:val="5"/>
        <w:tblpPr w:leftFromText="180" w:rightFromText="180" w:vertAnchor="text" w:horzAnchor="page" w:tblpX="1727" w:tblpY="363"/>
        <w:tblOverlap w:val="never"/>
        <w:tblW w:w="87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1973"/>
        <w:gridCol w:w="2107"/>
        <w:gridCol w:w="2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2610" w:type="dxa"/>
            <w:noWrap w:val="0"/>
            <w:vAlign w:val="center"/>
          </w:tcPr>
          <w:p>
            <w:pPr>
              <w:pStyle w:val="7"/>
              <w:spacing w:line="280" w:lineRule="auto"/>
              <w:ind w:right="591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pStyle w:val="7"/>
              <w:spacing w:line="280" w:lineRule="auto"/>
              <w:ind w:right="591"/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sz w:val="20"/>
              </w:rPr>
              <w:t>本年制</w:t>
            </w:r>
            <w:r>
              <w:rPr>
                <w:rFonts w:hint="eastAsia"/>
                <w:sz w:val="20"/>
                <w:lang w:val="en-US" w:eastAsia="zh-CN"/>
              </w:rPr>
              <w:t>发件数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7"/>
              <w:spacing w:line="280" w:lineRule="auto"/>
              <w:ind w:right="591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本年废止件数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7"/>
              <w:spacing w:line="280" w:lineRule="auto"/>
              <w:ind w:right="591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610" w:type="dxa"/>
            <w:noWrap w:val="0"/>
            <w:vAlign w:val="top"/>
          </w:tcPr>
          <w:p>
            <w:pPr>
              <w:pStyle w:val="7"/>
              <w:spacing w:before="137" w:beforeLines="0"/>
              <w:ind w:left="107"/>
              <w:rPr>
                <w:sz w:val="20"/>
              </w:rPr>
            </w:pPr>
            <w:r>
              <w:rPr>
                <w:sz w:val="20"/>
              </w:rPr>
              <w:t>规章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pStyle w:val="7"/>
              <w:spacing w:before="124" w:beforeLines="0"/>
              <w:ind w:left="107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7"/>
              <w:spacing w:before="137" w:beforeLines="0"/>
              <w:ind w:left="107"/>
              <w:rPr>
                <w:rFonts w:hint="default" w:eastAsia="宋体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7"/>
              <w:spacing w:before="124" w:beforeLines="0"/>
              <w:ind w:left="106"/>
              <w:rPr>
                <w:rFonts w:hint="default" w:eastAsia="宋体"/>
                <w:color w:val="FF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610" w:type="dxa"/>
            <w:noWrap w:val="0"/>
            <w:vAlign w:val="top"/>
          </w:tcPr>
          <w:p>
            <w:pPr>
              <w:pStyle w:val="7"/>
              <w:spacing w:before="136" w:beforeLines="0"/>
              <w:ind w:left="107"/>
              <w:rPr>
                <w:sz w:val="20"/>
              </w:rPr>
            </w:pPr>
            <w:r>
              <w:rPr>
                <w:sz w:val="20"/>
              </w:rPr>
              <w:t>规范性文件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pStyle w:val="7"/>
              <w:spacing w:before="124" w:beforeLines="0"/>
              <w:ind w:left="107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4</w:t>
            </w:r>
          </w:p>
        </w:tc>
        <w:tc>
          <w:tcPr>
            <w:tcW w:w="2107" w:type="dxa"/>
            <w:noWrap w:val="0"/>
            <w:vAlign w:val="top"/>
          </w:tcPr>
          <w:p>
            <w:pPr>
              <w:pStyle w:val="7"/>
              <w:spacing w:before="124" w:beforeLines="0"/>
              <w:ind w:left="107"/>
              <w:rPr>
                <w:rFonts w:hint="default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lang w:val="en-US" w:eastAsia="zh-CN"/>
              </w:rPr>
              <w:t>0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pStyle w:val="7"/>
              <w:spacing w:before="124" w:beforeLines="0"/>
              <w:ind w:left="106"/>
              <w:rPr>
                <w:rFonts w:hint="default" w:eastAsia="宋体"/>
                <w:color w:val="FF000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700" w:type="dxa"/>
            <w:gridSpan w:val="4"/>
            <w:shd w:val="clear" w:color="auto" w:fill="C5D9F0"/>
            <w:noWrap w:val="0"/>
            <w:vAlign w:val="top"/>
          </w:tcPr>
          <w:p>
            <w:pPr>
              <w:pStyle w:val="7"/>
              <w:spacing w:before="135" w:beforeLines="0"/>
              <w:ind w:left="3428" w:right="3421"/>
              <w:jc w:val="center"/>
              <w:rPr>
                <w:sz w:val="20"/>
              </w:rPr>
            </w:pPr>
            <w:r>
              <w:rPr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610" w:type="dxa"/>
            <w:noWrap w:val="0"/>
            <w:vAlign w:val="center"/>
          </w:tcPr>
          <w:p>
            <w:pPr>
              <w:pStyle w:val="7"/>
              <w:spacing w:line="280" w:lineRule="auto"/>
              <w:ind w:right="591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pStyle w:val="7"/>
              <w:spacing w:line="280" w:lineRule="auto"/>
              <w:ind w:right="59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本年</w:t>
            </w:r>
            <w:r>
              <w:rPr>
                <w:sz w:val="20"/>
              </w:rPr>
              <w:t>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610" w:type="dxa"/>
            <w:noWrap w:val="0"/>
            <w:vAlign w:val="top"/>
          </w:tcPr>
          <w:p>
            <w:pPr>
              <w:pStyle w:val="7"/>
              <w:spacing w:before="136" w:beforeLines="0"/>
              <w:ind w:left="107"/>
              <w:rPr>
                <w:sz w:val="20"/>
              </w:rPr>
            </w:pPr>
            <w:r>
              <w:rPr>
                <w:sz w:val="20"/>
              </w:rPr>
              <w:t>行政许可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pStyle w:val="7"/>
              <w:spacing w:before="124" w:beforeLines="0"/>
              <w:ind w:left="106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700" w:type="dxa"/>
            <w:gridSpan w:val="4"/>
            <w:shd w:val="clear" w:color="auto" w:fill="C5D9F0"/>
            <w:noWrap w:val="0"/>
            <w:vAlign w:val="top"/>
          </w:tcPr>
          <w:p>
            <w:pPr>
              <w:pStyle w:val="7"/>
              <w:spacing w:before="137" w:beforeLines="0"/>
              <w:ind w:left="3428" w:right="3421"/>
              <w:jc w:val="center"/>
              <w:rPr>
                <w:sz w:val="20"/>
              </w:rPr>
            </w:pPr>
            <w:r>
              <w:rPr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610" w:type="dxa"/>
            <w:noWrap w:val="0"/>
            <w:vAlign w:val="center"/>
          </w:tcPr>
          <w:p>
            <w:pPr>
              <w:pStyle w:val="7"/>
              <w:spacing w:line="280" w:lineRule="auto"/>
              <w:ind w:right="591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信息内容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pStyle w:val="7"/>
              <w:spacing w:line="280" w:lineRule="auto"/>
              <w:ind w:right="591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610" w:type="dxa"/>
            <w:noWrap w:val="0"/>
            <w:vAlign w:val="top"/>
          </w:tcPr>
          <w:p>
            <w:pPr>
              <w:pStyle w:val="7"/>
              <w:spacing w:before="135" w:beforeLines="0"/>
              <w:ind w:left="107"/>
              <w:rPr>
                <w:sz w:val="20"/>
              </w:rPr>
            </w:pPr>
            <w:r>
              <w:rPr>
                <w:sz w:val="20"/>
              </w:rPr>
              <w:t>行政处罚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pStyle w:val="7"/>
              <w:spacing w:before="125" w:beforeLines="0"/>
              <w:ind w:left="106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610" w:type="dxa"/>
            <w:noWrap w:val="0"/>
            <w:vAlign w:val="top"/>
          </w:tcPr>
          <w:p>
            <w:pPr>
              <w:pStyle w:val="7"/>
              <w:spacing w:before="137" w:beforeLines="0"/>
              <w:ind w:left="107"/>
              <w:rPr>
                <w:sz w:val="20"/>
              </w:rPr>
            </w:pPr>
            <w:r>
              <w:rPr>
                <w:sz w:val="20"/>
              </w:rPr>
              <w:t>行政强制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pStyle w:val="7"/>
              <w:spacing w:before="125" w:beforeLines="0"/>
              <w:ind w:left="106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8700" w:type="dxa"/>
            <w:gridSpan w:val="4"/>
            <w:shd w:val="clear" w:color="auto" w:fill="C5D9F0"/>
            <w:noWrap w:val="0"/>
            <w:vAlign w:val="top"/>
          </w:tcPr>
          <w:p>
            <w:pPr>
              <w:pStyle w:val="7"/>
              <w:spacing w:before="136" w:beforeLines="0"/>
              <w:ind w:left="3428" w:right="3421"/>
              <w:jc w:val="center"/>
              <w:rPr>
                <w:sz w:val="20"/>
              </w:rPr>
            </w:pPr>
            <w:r>
              <w:rPr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10" w:type="dxa"/>
            <w:noWrap w:val="0"/>
            <w:vAlign w:val="center"/>
          </w:tcPr>
          <w:p>
            <w:pPr>
              <w:pStyle w:val="7"/>
              <w:spacing w:line="280" w:lineRule="auto"/>
              <w:ind w:right="591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信息内容</w:t>
            </w:r>
          </w:p>
        </w:tc>
        <w:tc>
          <w:tcPr>
            <w:tcW w:w="6090" w:type="dxa"/>
            <w:gridSpan w:val="3"/>
            <w:noWrap w:val="0"/>
            <w:vAlign w:val="center"/>
          </w:tcPr>
          <w:p>
            <w:pPr>
              <w:pStyle w:val="7"/>
              <w:spacing w:line="280" w:lineRule="auto"/>
              <w:ind w:right="591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10" w:type="dxa"/>
            <w:noWrap w:val="0"/>
            <w:vAlign w:val="top"/>
          </w:tcPr>
          <w:p>
            <w:pPr>
              <w:pStyle w:val="7"/>
              <w:spacing w:before="3" w:beforeLines="0"/>
              <w:rPr>
                <w:rFonts w:ascii="黑体"/>
                <w:sz w:val="14"/>
              </w:rPr>
            </w:pPr>
          </w:p>
          <w:p>
            <w:pPr>
              <w:pStyle w:val="7"/>
              <w:ind w:left="107"/>
              <w:rPr>
                <w:sz w:val="20"/>
              </w:rPr>
            </w:pPr>
            <w:r>
              <w:rPr>
                <w:sz w:val="20"/>
              </w:rPr>
              <w:t>行政事业性收费</w:t>
            </w:r>
          </w:p>
        </w:tc>
        <w:tc>
          <w:tcPr>
            <w:tcW w:w="6090" w:type="dxa"/>
            <w:gridSpan w:val="3"/>
            <w:noWrap w:val="0"/>
            <w:vAlign w:val="top"/>
          </w:tcPr>
          <w:p>
            <w:pPr>
              <w:pStyle w:val="7"/>
              <w:spacing w:before="170" w:before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40" w:lineRule="exact"/>
        <w:ind w:firstLine="640" w:firstLineChars="200"/>
        <w:textAlignment w:val="auto"/>
        <w:rPr>
          <w:rFonts w:hint="eastAsia" w:ascii="黑体" w:eastAsia="黑体"/>
          <w:lang w:val="en-US" w:eastAsia="zh-CN"/>
        </w:rPr>
      </w:pPr>
    </w:p>
    <w:p>
      <w:pPr>
        <w:pStyle w:val="2"/>
        <w:spacing w:before="30" w:beforeLines="0"/>
        <w:ind w:firstLine="640" w:firstLineChars="200"/>
        <w:rPr>
          <w:rFonts w:hint="eastAsia" w:ascii="黑体" w:eastAsia="黑体"/>
        </w:rPr>
      </w:pPr>
      <w:r>
        <w:rPr>
          <w:rFonts w:hint="eastAsia" w:ascii="黑体" w:eastAsia="黑体"/>
          <w:lang w:val="en-US" w:eastAsia="zh-CN"/>
        </w:rPr>
        <w:t>三、</w:t>
      </w:r>
      <w:r>
        <w:rPr>
          <w:rFonts w:hint="eastAsia" w:ascii="黑体" w:eastAsia="黑体"/>
        </w:rPr>
        <w:t>收到和处理政府信息公开申请情况</w:t>
      </w:r>
    </w:p>
    <w:tbl>
      <w:tblPr>
        <w:tblStyle w:val="5"/>
        <w:tblpPr w:leftFromText="180" w:rightFromText="180" w:vertAnchor="text" w:horzAnchor="page" w:tblpX="1477" w:tblpY="274"/>
        <w:tblOverlap w:val="never"/>
        <w:tblW w:w="9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813"/>
        <w:gridCol w:w="8"/>
        <w:gridCol w:w="2128"/>
        <w:gridCol w:w="4"/>
        <w:gridCol w:w="825"/>
        <w:gridCol w:w="5"/>
        <w:gridCol w:w="775"/>
        <w:gridCol w:w="757"/>
        <w:gridCol w:w="7"/>
        <w:gridCol w:w="822"/>
        <w:gridCol w:w="8"/>
        <w:gridCol w:w="1005"/>
        <w:gridCol w:w="735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320" w:type="dxa"/>
            <w:gridSpan w:val="5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（本列数据的勾稽关系为：第一项加第二项之和，等于第三项加第四项之和）</w:t>
            </w:r>
          </w:p>
        </w:tc>
        <w:tc>
          <w:tcPr>
            <w:tcW w:w="5800" w:type="dxa"/>
            <w:gridSpan w:val="10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320" w:type="dxa"/>
            <w:gridSpan w:val="5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自然人</w:t>
            </w:r>
          </w:p>
        </w:tc>
        <w:tc>
          <w:tcPr>
            <w:tcW w:w="4109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法人或其他组织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3320" w:type="dxa"/>
            <w:gridSpan w:val="5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宋体"/>
                <w:color w:val="333333"/>
                <w:sz w:val="15"/>
                <w:szCs w:val="15"/>
                <w:lang w:val="zh-CN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  <w:lang w:val="zh-CN" w:eastAsia="zh-CN"/>
              </w:rPr>
            </w:pPr>
            <w:r>
              <w:rPr>
                <w:color w:val="333333"/>
                <w:sz w:val="15"/>
                <w:szCs w:val="15"/>
                <w:lang w:val="zh-CN" w:eastAsia="zh-CN"/>
              </w:rPr>
              <w:t>商业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  <w:lang w:val="zh-CN" w:eastAsia="zh-CN"/>
              </w:rPr>
            </w:pPr>
            <w:r>
              <w:rPr>
                <w:color w:val="333333"/>
                <w:sz w:val="15"/>
                <w:szCs w:val="15"/>
                <w:lang w:val="zh-CN" w:eastAsia="zh-CN"/>
              </w:rPr>
              <w:t>企业</w:t>
            </w: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  <w:lang w:val="zh-CN" w:eastAsia="zh-CN"/>
              </w:rPr>
            </w:pPr>
            <w:r>
              <w:rPr>
                <w:color w:val="333333"/>
                <w:sz w:val="15"/>
                <w:szCs w:val="15"/>
                <w:lang w:val="zh-CN" w:eastAsia="zh-CN"/>
              </w:rPr>
              <w:t>科研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  <w:lang w:val="zh-CN" w:eastAsia="zh-CN"/>
              </w:rPr>
            </w:pPr>
            <w:r>
              <w:rPr>
                <w:color w:val="333333"/>
                <w:sz w:val="15"/>
                <w:szCs w:val="15"/>
                <w:lang w:val="zh-CN" w:eastAsia="zh-CN"/>
              </w:rPr>
              <w:t>机构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  <w:lang w:val="zh-CN" w:eastAsia="zh-CN"/>
              </w:rPr>
            </w:pPr>
            <w:r>
              <w:rPr>
                <w:color w:val="333333"/>
                <w:sz w:val="15"/>
                <w:szCs w:val="15"/>
                <w:lang w:val="zh-CN" w:eastAsia="zh-CN"/>
              </w:rPr>
              <w:t>社会公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  <w:lang w:val="zh-CN" w:eastAsia="zh-CN"/>
              </w:rPr>
            </w:pPr>
            <w:r>
              <w:rPr>
                <w:color w:val="333333"/>
                <w:sz w:val="15"/>
                <w:szCs w:val="15"/>
                <w:lang w:val="zh-CN" w:eastAsia="zh-CN"/>
              </w:rPr>
              <w:t>益组织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  <w:lang w:val="zh-CN" w:eastAsia="zh-CN"/>
              </w:rPr>
            </w:pPr>
            <w:r>
              <w:rPr>
                <w:color w:val="333333"/>
                <w:sz w:val="15"/>
                <w:szCs w:val="15"/>
                <w:lang w:val="zh-CN" w:eastAsia="zh-CN"/>
              </w:rPr>
              <w:t>法律服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  <w:lang w:val="zh-CN" w:eastAsia="zh-CN"/>
              </w:rPr>
            </w:pPr>
            <w:r>
              <w:rPr>
                <w:color w:val="333333"/>
                <w:sz w:val="15"/>
                <w:szCs w:val="15"/>
                <w:lang w:val="zh-CN" w:eastAsia="zh-CN"/>
              </w:rPr>
              <w:t>务机构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  <w:lang w:val="zh-CN" w:eastAsia="zh-CN"/>
              </w:rPr>
            </w:pPr>
            <w:r>
              <w:rPr>
                <w:color w:val="333333"/>
                <w:sz w:val="15"/>
                <w:szCs w:val="15"/>
                <w:lang w:val="zh-CN" w:eastAsia="zh-CN"/>
              </w:rPr>
              <w:t>其他</w:t>
            </w:r>
          </w:p>
        </w:tc>
        <w:tc>
          <w:tcPr>
            <w:tcW w:w="86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320" w:type="dxa"/>
            <w:gridSpan w:val="5"/>
            <w:noWrap w:val="0"/>
            <w:vAlign w:val="center"/>
          </w:tcPr>
          <w:p>
            <w:pPr>
              <w:pStyle w:val="7"/>
              <w:ind w:left="108"/>
              <w:jc w:val="center"/>
              <w:rPr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一、本年新收政府信息公开申请数量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34" w:rightChars="0"/>
              <w:jc w:val="center"/>
              <w:rPr>
                <w:rFonts w:ascii="Calibri"/>
                <w:sz w:val="15"/>
                <w:szCs w:val="15"/>
              </w:rPr>
            </w:pPr>
            <w:r>
              <w:rPr>
                <w:rFonts w:ascii="Calibri"/>
                <w:color w:val="333333"/>
                <w:w w:val="99"/>
                <w:sz w:val="15"/>
                <w:szCs w:val="1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320" w:type="dxa"/>
            <w:gridSpan w:val="5"/>
            <w:noWrap w:val="0"/>
            <w:vAlign w:val="center"/>
          </w:tcPr>
          <w:p>
            <w:pPr>
              <w:pStyle w:val="7"/>
              <w:spacing w:before="1" w:beforeLines="0"/>
              <w:ind w:left="108"/>
              <w:jc w:val="center"/>
              <w:rPr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二、上年结转政府信息公开申请数量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54" w:leftChars="0" w:right="0" w:rightChars="0"/>
              <w:jc w:val="center"/>
              <w:rPr>
                <w:rFonts w:ascii="Calibri"/>
                <w:sz w:val="15"/>
                <w:szCs w:val="15"/>
              </w:rPr>
            </w:pPr>
            <w:r>
              <w:rPr>
                <w:rFonts w:ascii="Calibri"/>
                <w:color w:val="333333"/>
                <w:w w:val="99"/>
                <w:sz w:val="15"/>
                <w:szCs w:val="1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7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  <w:r>
              <w:rPr>
                <w:rFonts w:ascii="黑体"/>
                <w:sz w:val="15"/>
                <w:szCs w:val="15"/>
              </w:rPr>
              <w:t>三、本年度办理结果</w:t>
            </w:r>
          </w:p>
        </w:tc>
        <w:tc>
          <w:tcPr>
            <w:tcW w:w="2953" w:type="dxa"/>
            <w:gridSpan w:val="4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/>
                <w:sz w:val="15"/>
                <w:szCs w:val="15"/>
              </w:rPr>
            </w:pPr>
            <w:r>
              <w:rPr>
                <w:rFonts w:hint="eastAsia" w:ascii="黑体"/>
                <w:sz w:val="15"/>
                <w:szCs w:val="15"/>
              </w:rPr>
              <w:t>（一）予以公开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黑体"/>
                <w:sz w:val="15"/>
                <w:szCs w:val="15"/>
              </w:rPr>
            </w:pPr>
            <w:r>
              <w:rPr>
                <w:rFonts w:ascii="黑体"/>
                <w:sz w:val="15"/>
                <w:szCs w:val="1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2953" w:type="dxa"/>
            <w:gridSpan w:val="4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/>
                <w:sz w:val="15"/>
                <w:szCs w:val="15"/>
              </w:rPr>
            </w:pPr>
            <w:r>
              <w:rPr>
                <w:rFonts w:hint="eastAsia" w:ascii="黑体"/>
                <w:sz w:val="15"/>
                <w:szCs w:val="15"/>
              </w:rPr>
              <w:t>（二）部分公开（区分处理的，只计这一情形，不计其他情形）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黑体"/>
                <w:sz w:val="15"/>
                <w:szCs w:val="15"/>
              </w:rPr>
            </w:pPr>
            <w:r>
              <w:rPr>
                <w:rFonts w:ascii="黑体"/>
                <w:sz w:val="15"/>
                <w:szCs w:val="1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  <w:p>
            <w:pPr>
              <w:pStyle w:val="7"/>
              <w:jc w:val="center"/>
              <w:rPr>
                <w:rFonts w:hint="eastAsia" w:ascii="黑体"/>
                <w:sz w:val="15"/>
                <w:szCs w:val="15"/>
              </w:rPr>
            </w:pPr>
            <w:r>
              <w:rPr>
                <w:rFonts w:hint="eastAsia" w:ascii="黑体"/>
                <w:sz w:val="15"/>
                <w:szCs w:val="15"/>
              </w:rPr>
              <w:t>（三） 不予公开</w:t>
            </w: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/>
                <w:sz w:val="15"/>
                <w:szCs w:val="15"/>
              </w:rPr>
            </w:pPr>
            <w:r>
              <w:rPr>
                <w:rFonts w:hint="eastAsia" w:ascii="黑体"/>
                <w:sz w:val="15"/>
                <w:szCs w:val="15"/>
              </w:rPr>
              <w:t>1.属于国家秘密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黑体"/>
                <w:sz w:val="15"/>
                <w:szCs w:val="15"/>
              </w:rPr>
            </w:pPr>
            <w:r>
              <w:rPr>
                <w:rFonts w:ascii="黑体"/>
                <w:sz w:val="15"/>
                <w:szCs w:val="1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/>
                <w:sz w:val="15"/>
                <w:szCs w:val="15"/>
              </w:rPr>
            </w:pPr>
            <w:r>
              <w:rPr>
                <w:rFonts w:hint="eastAsia" w:ascii="黑体"/>
                <w:sz w:val="15"/>
                <w:szCs w:val="15"/>
              </w:rPr>
              <w:t>2.其他法律行政法规禁止公开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黑体"/>
                <w:sz w:val="15"/>
                <w:szCs w:val="15"/>
              </w:rPr>
            </w:pPr>
            <w:r>
              <w:rPr>
                <w:rFonts w:ascii="黑体"/>
                <w:sz w:val="15"/>
                <w:szCs w:val="1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/>
                <w:sz w:val="15"/>
                <w:szCs w:val="15"/>
              </w:rPr>
            </w:pPr>
            <w:r>
              <w:rPr>
                <w:rFonts w:hint="eastAsia" w:ascii="黑体"/>
                <w:sz w:val="15"/>
                <w:szCs w:val="15"/>
              </w:rPr>
              <w:t>3.危及“三安全一稳定”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ascii="黑体"/>
                <w:sz w:val="15"/>
                <w:szCs w:val="15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ascii="黑体"/>
                <w:sz w:val="15"/>
                <w:szCs w:val="15"/>
              </w:rPr>
            </w:pPr>
            <w:r>
              <w:rPr>
                <w:rFonts w:ascii="黑体"/>
                <w:sz w:val="15"/>
                <w:szCs w:val="1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pStyle w:val="7"/>
              <w:spacing w:before="1" w:beforeLines="0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4.保护第三方合法权益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54" w:leftChars="0" w:right="0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40" w:type="dxa"/>
            <w:gridSpan w:val="3"/>
            <w:noWrap w:val="0"/>
            <w:vAlign w:val="center"/>
          </w:tcPr>
          <w:p>
            <w:pPr>
              <w:pStyle w:val="7"/>
              <w:jc w:val="both"/>
              <w:rPr>
                <w:rFonts w:hint="default" w:ascii="黑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5.属于三类内部事务</w:t>
            </w:r>
            <w:r>
              <w:rPr>
                <w:rFonts w:hint="eastAsia" w:ascii="黑体" w:cs="宋体"/>
                <w:sz w:val="15"/>
                <w:szCs w:val="15"/>
                <w:lang w:val="en-US" w:eastAsia="zh-CN"/>
              </w:rPr>
              <w:t>信息</w:t>
            </w: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64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3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54" w:leftChars="0" w:right="0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6.属于四类过程性信息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黑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cs="宋体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7.属于行政执法案卷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34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8.属于行政查询事项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54" w:leftChars="0" w:right="0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/>
                <w:sz w:val="15"/>
                <w:szCs w:val="15"/>
                <w:lang w:val="zh-CN" w:eastAsia="zh-CN"/>
              </w:rPr>
            </w:pPr>
          </w:p>
          <w:p>
            <w:pPr>
              <w:pStyle w:val="7"/>
              <w:jc w:val="center"/>
              <w:rPr>
                <w:rFonts w:hint="eastAsia" w:ascii="黑体"/>
                <w:sz w:val="15"/>
                <w:szCs w:val="15"/>
                <w:lang w:val="zh-CN" w:eastAsia="zh-CN"/>
              </w:rPr>
            </w:pPr>
          </w:p>
          <w:p>
            <w:pPr>
              <w:pStyle w:val="7"/>
              <w:jc w:val="center"/>
              <w:rPr>
                <w:rFonts w:hint="eastAsia" w:ascii="黑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/>
                <w:sz w:val="15"/>
                <w:szCs w:val="15"/>
                <w:lang w:val="zh-CN" w:eastAsia="zh-CN"/>
              </w:rPr>
              <w:t>（四） 无法提供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/>
                <w:sz w:val="15"/>
                <w:szCs w:val="15"/>
                <w:lang w:val="zh-CN" w:eastAsia="zh-CN"/>
              </w:rPr>
              <w:t>1.本机关不掌握相关政府信息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/>
                <w:sz w:val="15"/>
                <w:szCs w:val="15"/>
                <w:lang w:val="zh-CN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2.没有现成信息需要另行制作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spacing w:before="1"/>
              <w:ind w:left="0" w:leftChars="0" w:right="34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3.补正后申请内容仍不明确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34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restart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（五） 不予处理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1.信访举报投诉类申请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2.重复申请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54" w:leftChars="0" w:right="0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7"/>
              <w:spacing w:before="1" w:beforeLines="0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3.要求提供公开出版物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54" w:leftChars="0" w:right="0" w:rightChars="0"/>
              <w:jc w:val="center"/>
              <w:rPr>
                <w:rFonts w:hint="default" w:ascii="黑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cs="宋体"/>
                <w:sz w:val="15"/>
                <w:szCs w:val="15"/>
                <w:lang w:val="en-US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15"/>
                <w:szCs w:val="15"/>
                <w:lang w:val="zh-CN" w:eastAsia="zh-CN"/>
              </w:rPr>
            </w:pPr>
          </w:p>
        </w:tc>
        <w:tc>
          <w:tcPr>
            <w:tcW w:w="81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7"/>
              <w:spacing w:before="1" w:beforeLines="0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4.无正当理由大量反复申请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54" w:leftChars="0" w:right="0" w:rightChars="0"/>
              <w:jc w:val="center"/>
              <w:rPr>
                <w:rFonts w:hint="default" w:ascii="黑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cs="宋体"/>
                <w:sz w:val="15"/>
                <w:szCs w:val="15"/>
                <w:lang w:val="en-US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3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5.要求行政机关确认或重新出具已获取信息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（六）其他处理</w:t>
            </w:r>
          </w:p>
        </w:tc>
        <w:tc>
          <w:tcPr>
            <w:tcW w:w="2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default" w:ascii="黑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cs="宋体"/>
                <w:sz w:val="15"/>
                <w:szCs w:val="15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default" w:ascii="黑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cs="宋体"/>
                <w:sz w:val="15"/>
                <w:szCs w:val="15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黑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cs="宋体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212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jc w:val="both"/>
              <w:rPr>
                <w:rFonts w:hint="default" w:ascii="黑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cs="宋体"/>
                <w:sz w:val="15"/>
                <w:szCs w:val="15"/>
                <w:lang w:val="en-US" w:eastAsia="zh-CN"/>
              </w:rPr>
              <w:t>3.其他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default" w:ascii="黑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cs="宋体"/>
                <w:sz w:val="15"/>
                <w:szCs w:val="15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67" w:type="dxa"/>
            <w:vMerge w:val="continue"/>
            <w:noWrap w:val="0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（七）总计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316" w:type="dxa"/>
            <w:gridSpan w:val="4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  <w:t>四、结转下年度继续办理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黑体" w:hAnsi="宋体" w:eastAsia="宋体" w:cs="宋体"/>
                <w:sz w:val="15"/>
                <w:szCs w:val="15"/>
                <w:lang w:val="zh-CN" w:eastAsia="zh-CN"/>
              </w:rPr>
            </w:pPr>
            <w:r>
              <w:rPr>
                <w:rFonts w:hint="eastAsia" w:ascii="黑体" w:hAnsi="宋体" w:eastAsia="宋体" w:cs="宋体"/>
                <w:sz w:val="15"/>
                <w:szCs w:val="15"/>
                <w:lang w:val="zh-CN" w:eastAsia="zh-CN" w:bidi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40" w:lineRule="exact"/>
        <w:textAlignment w:val="auto"/>
        <w:rPr>
          <w:rFonts w:ascii="黑体"/>
          <w:sz w:val="8"/>
        </w:rPr>
      </w:pPr>
    </w:p>
    <w:p>
      <w:pPr>
        <w:pStyle w:val="2"/>
        <w:spacing w:before="109" w:beforeLines="0"/>
        <w:ind w:firstLine="640" w:firstLineChars="200"/>
        <w:rPr>
          <w:rFonts w:ascii="黑体"/>
          <w:sz w:val="8"/>
        </w:rPr>
      </w:pPr>
      <w:r>
        <w:rPr>
          <w:rFonts w:hint="eastAsia" w:ascii="黑体" w:eastAsia="黑体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1382" w:tblpY="314"/>
        <w:tblOverlap w:val="never"/>
        <w:tblW w:w="93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21"/>
        <w:gridCol w:w="621"/>
        <w:gridCol w:w="621"/>
        <w:gridCol w:w="681"/>
        <w:gridCol w:w="566"/>
        <w:gridCol w:w="622"/>
        <w:gridCol w:w="622"/>
        <w:gridCol w:w="622"/>
        <w:gridCol w:w="626"/>
        <w:gridCol w:w="622"/>
        <w:gridCol w:w="622"/>
        <w:gridCol w:w="622"/>
        <w:gridCol w:w="623"/>
        <w:gridCol w:w="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30" w:type="dxa"/>
            <w:gridSpan w:val="5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行政复议</w:t>
            </w:r>
          </w:p>
        </w:tc>
        <w:tc>
          <w:tcPr>
            <w:tcW w:w="6105" w:type="dxa"/>
            <w:gridSpan w:val="10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86" w:type="dxa"/>
            <w:vMerge w:val="restart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维持</w:t>
            </w:r>
          </w:p>
        </w:tc>
        <w:tc>
          <w:tcPr>
            <w:tcW w:w="621" w:type="dxa"/>
            <w:vMerge w:val="restart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纠正</w:t>
            </w:r>
          </w:p>
        </w:tc>
        <w:tc>
          <w:tcPr>
            <w:tcW w:w="621" w:type="dxa"/>
            <w:vMerge w:val="restart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结果</w:t>
            </w:r>
          </w:p>
        </w:tc>
        <w:tc>
          <w:tcPr>
            <w:tcW w:w="621" w:type="dxa"/>
            <w:vMerge w:val="restart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尚未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审结</w:t>
            </w:r>
          </w:p>
        </w:tc>
        <w:tc>
          <w:tcPr>
            <w:tcW w:w="681" w:type="dxa"/>
            <w:vMerge w:val="restart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总计</w:t>
            </w:r>
          </w:p>
        </w:tc>
        <w:tc>
          <w:tcPr>
            <w:tcW w:w="3058" w:type="dxa"/>
            <w:gridSpan w:val="5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未经复议直接起诉</w:t>
            </w:r>
          </w:p>
        </w:tc>
        <w:tc>
          <w:tcPr>
            <w:tcW w:w="3047" w:type="dxa"/>
            <w:gridSpan w:val="5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68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</w:tc>
        <w:tc>
          <w:tcPr>
            <w:tcW w:w="56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维持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纠正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结果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尚未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审结</w:t>
            </w:r>
          </w:p>
        </w:tc>
        <w:tc>
          <w:tcPr>
            <w:tcW w:w="6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总计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维持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结果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纠正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其他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结果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尚未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审结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line="300" w:lineRule="exact"/>
              <w:ind w:left="0" w:right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color w:val="333333"/>
                <w:sz w:val="15"/>
                <w:szCs w:val="15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8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2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56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rFonts w:hint="eastAsia" w:eastAsia="宋体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2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62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right="0" w:rightChars="0"/>
              <w:jc w:val="center"/>
              <w:textAlignment w:val="auto"/>
              <w:rPr>
                <w:color w:val="333333"/>
                <w:sz w:val="15"/>
                <w:szCs w:val="15"/>
              </w:rPr>
            </w:pPr>
            <w:r>
              <w:rPr>
                <w:rFonts w:hint="eastAsia"/>
                <w:color w:val="333333"/>
                <w:sz w:val="15"/>
                <w:szCs w:val="15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黑体" w:eastAsia="黑体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eastAsia" w:ascii="黑体" w:eastAsia="黑体"/>
          <w:lang w:val="en-US" w:eastAsia="zh-CN"/>
        </w:rPr>
      </w:pPr>
    </w:p>
    <w:p>
      <w:pPr>
        <w:pStyle w:val="2"/>
        <w:numPr>
          <w:ilvl w:val="0"/>
          <w:numId w:val="2"/>
        </w:numPr>
        <w:ind w:firstLine="64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存在的主要问题及改进情况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楷体_GB2312" w:hAnsi="楷体_GB2312" w:eastAsia="楷体_GB2312" w:cs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（一）存在的主要问题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一年来，我局在政府信息公开工作中积极探索、深入落实，取得了一定成效，但与上级部门对政府信息公开工作的要求相比，仍然在信息公开工作的全面性、系统性，信息公开方式的丰富性、多元性和信息公开工作参与的深入性、全局性方面存在一些不足。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楷体_GB2312" w:hAnsi="楷体_GB2312" w:eastAsia="楷体_GB2312" w:cs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（二）工作改进情况</w:t>
      </w:r>
    </w:p>
    <w:p>
      <w:pPr>
        <w:pStyle w:val="2"/>
        <w:numPr>
          <w:ilvl w:val="0"/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一是将信息公开意识融入日常工作中，将信息公开工作贯穿政务运行全过程，增强做好政府信息公开工作的自觉性、主动性。二是持续深化理论和业务知识学习，不断提升工作能力和本领。三是持续探索工作的方式和方法，深入推进政府信息公开工作，不断在全局广泛形成“以公开为常态、以不公开为例外”的良好工作氛围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eastAsia="黑体"/>
        </w:rPr>
      </w:pPr>
      <w:r>
        <w:rPr>
          <w:rFonts w:hint="eastAsia" w:ascii="黑体" w:eastAsia="黑体"/>
          <w:lang w:eastAsia="zh-CN"/>
        </w:rPr>
        <w:t>六、</w:t>
      </w:r>
      <w:r>
        <w:rPr>
          <w:rFonts w:hint="eastAsia" w:ascii="黑体" w:eastAsia="黑体"/>
        </w:rPr>
        <w:t>其他需要报告的事项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8C7CB4"/>
    <w:multiLevelType w:val="singleLevel"/>
    <w:tmpl w:val="CB8C7CB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71A3B6"/>
    <w:multiLevelType w:val="singleLevel"/>
    <w:tmpl w:val="3471A3B6"/>
    <w:lvl w:ilvl="0" w:tentative="0">
      <w:start w:val="1"/>
      <w:numFmt w:val="chineseCounting"/>
      <w:suff w:val="nothing"/>
      <w:lvlText w:val="%1、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85F52"/>
    <w:rsid w:val="01A726ED"/>
    <w:rsid w:val="03BD6196"/>
    <w:rsid w:val="069F0B7F"/>
    <w:rsid w:val="06D50952"/>
    <w:rsid w:val="095C4848"/>
    <w:rsid w:val="0984551C"/>
    <w:rsid w:val="09E8578E"/>
    <w:rsid w:val="0A165F4E"/>
    <w:rsid w:val="0AE87D82"/>
    <w:rsid w:val="0B21104E"/>
    <w:rsid w:val="10FB7C4C"/>
    <w:rsid w:val="11874042"/>
    <w:rsid w:val="11923C0A"/>
    <w:rsid w:val="130152C1"/>
    <w:rsid w:val="149F5B07"/>
    <w:rsid w:val="16FE0496"/>
    <w:rsid w:val="17854E13"/>
    <w:rsid w:val="17885FB1"/>
    <w:rsid w:val="18443FE2"/>
    <w:rsid w:val="1C8651B5"/>
    <w:rsid w:val="1C890801"/>
    <w:rsid w:val="1CAE0268"/>
    <w:rsid w:val="1D6D0123"/>
    <w:rsid w:val="206A6B9C"/>
    <w:rsid w:val="239161EE"/>
    <w:rsid w:val="246A3913"/>
    <w:rsid w:val="25F23812"/>
    <w:rsid w:val="26294813"/>
    <w:rsid w:val="277239A1"/>
    <w:rsid w:val="288726D3"/>
    <w:rsid w:val="288B2C86"/>
    <w:rsid w:val="29341AF5"/>
    <w:rsid w:val="2A61691A"/>
    <w:rsid w:val="2C1A3224"/>
    <w:rsid w:val="2D1F4CBD"/>
    <w:rsid w:val="2D8D076B"/>
    <w:rsid w:val="2DDB4C35"/>
    <w:rsid w:val="301D117B"/>
    <w:rsid w:val="32E03092"/>
    <w:rsid w:val="32E14A9C"/>
    <w:rsid w:val="33485D8C"/>
    <w:rsid w:val="337A460F"/>
    <w:rsid w:val="338877B9"/>
    <w:rsid w:val="343E7CCC"/>
    <w:rsid w:val="353E3899"/>
    <w:rsid w:val="360A4309"/>
    <w:rsid w:val="3712456B"/>
    <w:rsid w:val="375003C5"/>
    <w:rsid w:val="375241BA"/>
    <w:rsid w:val="375D6668"/>
    <w:rsid w:val="37D35839"/>
    <w:rsid w:val="3885236D"/>
    <w:rsid w:val="3C7B1AEA"/>
    <w:rsid w:val="3D0D46DF"/>
    <w:rsid w:val="3E572742"/>
    <w:rsid w:val="3F520026"/>
    <w:rsid w:val="3F5B3E28"/>
    <w:rsid w:val="3FB6105E"/>
    <w:rsid w:val="402E6E46"/>
    <w:rsid w:val="403B5E20"/>
    <w:rsid w:val="41DF489C"/>
    <w:rsid w:val="42C85330"/>
    <w:rsid w:val="44352A12"/>
    <w:rsid w:val="4545542A"/>
    <w:rsid w:val="49297405"/>
    <w:rsid w:val="4A897A9B"/>
    <w:rsid w:val="4B9F4282"/>
    <w:rsid w:val="4BE40D01"/>
    <w:rsid w:val="4C901697"/>
    <w:rsid w:val="503009B9"/>
    <w:rsid w:val="508F2FBB"/>
    <w:rsid w:val="510E43D0"/>
    <w:rsid w:val="526B3F2A"/>
    <w:rsid w:val="53310CD0"/>
    <w:rsid w:val="54DE4650"/>
    <w:rsid w:val="577E64AD"/>
    <w:rsid w:val="58074EE3"/>
    <w:rsid w:val="5A6466DC"/>
    <w:rsid w:val="5BD7618C"/>
    <w:rsid w:val="5C9C1D93"/>
    <w:rsid w:val="5D096819"/>
    <w:rsid w:val="5D8536C3"/>
    <w:rsid w:val="5DF43176"/>
    <w:rsid w:val="5E4A0E97"/>
    <w:rsid w:val="609238F5"/>
    <w:rsid w:val="6198016C"/>
    <w:rsid w:val="629E64D8"/>
    <w:rsid w:val="648F3AA8"/>
    <w:rsid w:val="64CD45D0"/>
    <w:rsid w:val="64D16E4D"/>
    <w:rsid w:val="66A20931"/>
    <w:rsid w:val="66B712C4"/>
    <w:rsid w:val="66DD0583"/>
    <w:rsid w:val="67DD1460"/>
    <w:rsid w:val="69320066"/>
    <w:rsid w:val="6AC86F7E"/>
    <w:rsid w:val="6B154F03"/>
    <w:rsid w:val="6BD665F5"/>
    <w:rsid w:val="6C3048E6"/>
    <w:rsid w:val="6CA85F52"/>
    <w:rsid w:val="6CE149BF"/>
    <w:rsid w:val="716B4BFF"/>
    <w:rsid w:val="76E71522"/>
    <w:rsid w:val="78DE0352"/>
    <w:rsid w:val="78F26987"/>
    <w:rsid w:val="7941097A"/>
    <w:rsid w:val="7A2377A8"/>
    <w:rsid w:val="7CE210C4"/>
    <w:rsid w:val="7D53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customStyle="1" w:styleId="7">
    <w:name w:val="Table Paragraph"/>
    <w:basedOn w:val="1"/>
    <w:qFormat/>
    <w:uiPriority w:val="0"/>
    <w:rPr>
      <w:rFonts w:ascii="宋体" w:hAnsi="宋体" w:eastAsia="宋体" w:cs="宋体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2022-01-12T05:51:00Z</dcterms:created>
  <dc:creator>商务局-徐洪涛</dc:creator>
  <cp:lastModifiedBy>国梁</cp:lastModifiedBy>
  <dcterms:modified xsi:type="dcterms:W3CDTF">2022-01-19T01:22:12Z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31C0E76EA91548E2889238A334377165</vt:lpwstr>
  </property>
</Properties>
</file>