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重点货运源头单位基本情况调查表</w:t>
      </w:r>
    </w:p>
    <w:p>
      <w:pPr>
        <w:spacing w:line="560" w:lineRule="exact"/>
        <w:rPr>
          <w:rFonts w:hint="eastAsia" w:ascii="黑体" w:eastAsia="黑体"/>
        </w:rPr>
      </w:pPr>
    </w:p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>填报单位（公章）：                           填报时间：</w:t>
      </w:r>
    </w:p>
    <w:p>
      <w:pPr>
        <w:spacing w:line="560" w:lineRule="exact"/>
        <w:rPr>
          <w:rFonts w:hint="eastAsi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重点货运源头单位名称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货源所在地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  业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主要货源种类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年产（运、吞吐）量（万吨/年）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通过公路运输量（万吨/年）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运输途径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主要路线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普通公路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/>
          <w:b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927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- 4 -</w:t>
    </w:r>
    <w:r>
      <w:rPr>
        <w:rStyle w:val="7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61A0"/>
    <w:rsid w:val="26CA6ABE"/>
    <w:rsid w:val="43B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hanxu</dc:creator>
  <cp:lastModifiedBy>互联盘锦网站</cp:lastModifiedBy>
  <dcterms:modified xsi:type="dcterms:W3CDTF">2021-12-14T05:47:49Z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EEF69AF52D9C44098D758A6D5363B010</vt:lpwstr>
  </property>
</Properties>
</file>