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bookmarkStart w:id="0" w:name="_GoBack"/>
      <w:bookmarkEnd w:id="0"/>
      <w:r>
        <w:rPr>
          <w:rFonts w:hint="eastAsia" w:ascii="黑体" w:hAnsi="黑体" w:eastAsia="黑体"/>
          <w:sz w:val="32"/>
          <w:szCs w:val="32"/>
        </w:rPr>
        <w:t>附　件</w:t>
      </w:r>
    </w:p>
    <w:p>
      <w:pPr>
        <w:spacing w:line="500" w:lineRule="exact"/>
        <w:jc w:val="center"/>
        <w:rPr>
          <w:rFonts w:ascii="方正小标宋简体" w:hAnsi="宋体" w:eastAsia="方正小标宋简体"/>
          <w:sz w:val="44"/>
          <w:szCs w:val="44"/>
        </w:rPr>
      </w:pPr>
      <w:r>
        <w:rPr>
          <w:rFonts w:ascii="方正小标宋简体" w:hAnsi="宋体" w:eastAsia="方正小标宋简体"/>
          <w:sz w:val="44"/>
          <w:szCs w:val="44"/>
        </w:rPr>
        <w:t>2020</w:t>
      </w:r>
      <w:r>
        <w:rPr>
          <w:rFonts w:hint="eastAsia" w:ascii="方正小标宋简体" w:hAnsi="宋体" w:eastAsia="方正小标宋简体"/>
          <w:sz w:val="44"/>
          <w:szCs w:val="44"/>
        </w:rPr>
        <w:t>年我市主要固体废物产生</w:t>
      </w:r>
    </w:p>
    <w:p>
      <w:pPr>
        <w:spacing w:line="5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和处理情况调查表</w:t>
      </w:r>
    </w:p>
    <w:p>
      <w:pPr>
        <w:spacing w:line="400" w:lineRule="exact"/>
        <w:rPr>
          <w:rFonts w:ascii="仿宋_GB2312" w:hAnsi="宋体" w:eastAsia="仿宋_GB2312"/>
          <w:b/>
          <w:sz w:val="44"/>
          <w:szCs w:val="44"/>
        </w:rPr>
      </w:pPr>
      <w:r>
        <w:rPr>
          <w:rFonts w:hint="eastAsia" w:ascii="仿宋_GB2312" w:hAnsi="黑体" w:eastAsia="仿宋_GB2312"/>
          <w:sz w:val="28"/>
          <w:szCs w:val="28"/>
        </w:rPr>
        <w:t>单位</w:t>
      </w:r>
      <w:r>
        <w:rPr>
          <w:rFonts w:ascii="仿宋_GB2312" w:hAnsi="黑体" w:eastAsia="仿宋_GB2312"/>
          <w:sz w:val="28"/>
          <w:szCs w:val="28"/>
        </w:rPr>
        <w:t>:</w:t>
      </w:r>
      <w:r>
        <w:rPr>
          <w:rFonts w:hint="eastAsia" w:ascii="仿宋_GB2312" w:hAnsi="黑体" w:eastAsia="仿宋_GB2312"/>
          <w:sz w:val="28"/>
          <w:szCs w:val="28"/>
        </w:rPr>
        <w:t>万吨</w:t>
      </w:r>
    </w:p>
    <w:tbl>
      <w:tblPr>
        <w:tblStyle w:val="8"/>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098"/>
        <w:gridCol w:w="1079"/>
        <w:gridCol w:w="1134"/>
        <w:gridCol w:w="1413"/>
        <w:gridCol w:w="3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49" w:type="dxa"/>
            <w:vAlign w:val="center"/>
          </w:tcPr>
          <w:p>
            <w:pPr>
              <w:spacing w:line="320" w:lineRule="exact"/>
              <w:jc w:val="center"/>
              <w:rPr>
                <w:rFonts w:ascii="黑体" w:hAnsi="黑体" w:eastAsia="黑体"/>
                <w:sz w:val="28"/>
                <w:szCs w:val="28"/>
              </w:rPr>
            </w:pPr>
            <w:r>
              <w:rPr>
                <w:rFonts w:hint="eastAsia" w:ascii="黑体" w:hAnsi="黑体" w:eastAsia="黑体"/>
                <w:sz w:val="28"/>
                <w:szCs w:val="28"/>
              </w:rPr>
              <w:t>类</w:t>
            </w:r>
            <w:r>
              <w:rPr>
                <w:rFonts w:ascii="黑体" w:hAnsi="黑体" w:eastAsia="黑体"/>
                <w:sz w:val="28"/>
                <w:szCs w:val="28"/>
              </w:rPr>
              <w:t xml:space="preserve"> </w:t>
            </w:r>
            <w:r>
              <w:rPr>
                <w:rFonts w:hint="eastAsia" w:ascii="黑体" w:hAnsi="黑体" w:eastAsia="黑体"/>
                <w:sz w:val="28"/>
                <w:szCs w:val="28"/>
              </w:rPr>
              <w:t>别</w:t>
            </w:r>
          </w:p>
        </w:tc>
        <w:tc>
          <w:tcPr>
            <w:tcW w:w="1098" w:type="dxa"/>
            <w:vAlign w:val="center"/>
          </w:tcPr>
          <w:p>
            <w:pPr>
              <w:spacing w:line="320" w:lineRule="exact"/>
              <w:jc w:val="center"/>
              <w:rPr>
                <w:rFonts w:ascii="黑体" w:hAnsi="黑体" w:eastAsia="黑体"/>
                <w:sz w:val="28"/>
                <w:szCs w:val="28"/>
              </w:rPr>
            </w:pPr>
            <w:r>
              <w:rPr>
                <w:rFonts w:hint="eastAsia" w:ascii="黑体" w:hAnsi="黑体" w:eastAsia="黑体"/>
                <w:sz w:val="28"/>
                <w:szCs w:val="28"/>
              </w:rPr>
              <w:t>产生量</w:t>
            </w:r>
          </w:p>
        </w:tc>
        <w:tc>
          <w:tcPr>
            <w:tcW w:w="1079" w:type="dxa"/>
            <w:vAlign w:val="center"/>
          </w:tcPr>
          <w:p>
            <w:pPr>
              <w:spacing w:line="320" w:lineRule="exact"/>
              <w:jc w:val="center"/>
              <w:rPr>
                <w:rFonts w:ascii="黑体" w:hAnsi="黑体" w:eastAsia="黑体"/>
                <w:sz w:val="28"/>
                <w:szCs w:val="28"/>
              </w:rPr>
            </w:pPr>
            <w:r>
              <w:rPr>
                <w:rFonts w:hint="eastAsia" w:ascii="黑体" w:hAnsi="黑体" w:eastAsia="黑体"/>
                <w:sz w:val="28"/>
                <w:szCs w:val="28"/>
              </w:rPr>
              <w:t>处理量</w:t>
            </w:r>
          </w:p>
        </w:tc>
        <w:tc>
          <w:tcPr>
            <w:tcW w:w="1134" w:type="dxa"/>
            <w:vAlign w:val="center"/>
          </w:tcPr>
          <w:p>
            <w:pPr>
              <w:spacing w:line="320" w:lineRule="exact"/>
              <w:jc w:val="center"/>
              <w:rPr>
                <w:rFonts w:ascii="黑体" w:hAnsi="黑体" w:eastAsia="黑体"/>
                <w:sz w:val="28"/>
                <w:szCs w:val="28"/>
              </w:rPr>
            </w:pPr>
            <w:r>
              <w:rPr>
                <w:rFonts w:hint="eastAsia" w:ascii="黑体" w:hAnsi="黑体" w:eastAsia="黑体"/>
                <w:sz w:val="28"/>
                <w:szCs w:val="28"/>
              </w:rPr>
              <w:t>处理率</w:t>
            </w:r>
          </w:p>
        </w:tc>
        <w:tc>
          <w:tcPr>
            <w:tcW w:w="1413" w:type="dxa"/>
            <w:vAlign w:val="center"/>
          </w:tcPr>
          <w:p>
            <w:pPr>
              <w:spacing w:line="320" w:lineRule="exact"/>
              <w:jc w:val="center"/>
              <w:rPr>
                <w:rFonts w:ascii="黑体" w:hAnsi="黑体" w:eastAsia="黑体"/>
                <w:sz w:val="28"/>
                <w:szCs w:val="28"/>
              </w:rPr>
            </w:pPr>
            <w:r>
              <w:rPr>
                <w:rFonts w:hint="eastAsia" w:ascii="黑体" w:hAnsi="黑体" w:eastAsia="黑体"/>
                <w:sz w:val="28"/>
                <w:szCs w:val="28"/>
              </w:rPr>
              <w:t>处理能力</w:t>
            </w:r>
          </w:p>
        </w:tc>
        <w:tc>
          <w:tcPr>
            <w:tcW w:w="3082" w:type="dxa"/>
            <w:vAlign w:val="center"/>
          </w:tcPr>
          <w:p>
            <w:pPr>
              <w:spacing w:line="320" w:lineRule="exact"/>
              <w:jc w:val="center"/>
              <w:rPr>
                <w:rFonts w:ascii="黑体" w:hAnsi="黑体" w:eastAsia="黑体"/>
                <w:sz w:val="28"/>
                <w:szCs w:val="28"/>
              </w:rPr>
            </w:pPr>
            <w:r>
              <w:rPr>
                <w:rFonts w:hint="eastAsia" w:ascii="黑体" w:hAnsi="黑体" w:eastAsia="黑体"/>
                <w:sz w:val="28"/>
                <w:szCs w:val="28"/>
              </w:rPr>
              <w:t>备</w:t>
            </w:r>
            <w:r>
              <w:rPr>
                <w:rFonts w:ascii="黑体" w:hAnsi="黑体" w:eastAsia="黑体"/>
                <w:sz w:val="28"/>
                <w:szCs w:val="28"/>
              </w:rPr>
              <w:t xml:space="preserve">    </w:t>
            </w:r>
            <w:r>
              <w:rPr>
                <w:rFonts w:hint="eastAsia" w:ascii="黑体" w:hAnsi="黑体" w:eastAsia="黑体"/>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jc w:val="center"/>
        </w:trPr>
        <w:tc>
          <w:tcPr>
            <w:tcW w:w="1249" w:type="dxa"/>
            <w:vAlign w:val="center"/>
          </w:tcPr>
          <w:p>
            <w:pPr>
              <w:spacing w:line="320" w:lineRule="exact"/>
              <w:jc w:val="center"/>
              <w:rPr>
                <w:rFonts w:ascii="黑体" w:hAnsi="黑体" w:eastAsia="黑体"/>
                <w:sz w:val="24"/>
                <w:szCs w:val="24"/>
              </w:rPr>
            </w:pPr>
            <w:r>
              <w:rPr>
                <w:rFonts w:hint="eastAsia" w:ascii="黑体" w:hAnsi="黑体" w:eastAsia="黑体"/>
                <w:sz w:val="24"/>
                <w:szCs w:val="24"/>
              </w:rPr>
              <w:t>生活垃圾</w:t>
            </w:r>
          </w:p>
        </w:tc>
        <w:tc>
          <w:tcPr>
            <w:tcW w:w="1098" w:type="dxa"/>
            <w:vAlign w:val="center"/>
          </w:tcPr>
          <w:p>
            <w:pPr>
              <w:spacing w:line="320" w:lineRule="exact"/>
              <w:jc w:val="center"/>
              <w:rPr>
                <w:sz w:val="24"/>
                <w:szCs w:val="24"/>
              </w:rPr>
            </w:pPr>
            <w:r>
              <w:rPr>
                <w:sz w:val="24"/>
                <w:szCs w:val="24"/>
              </w:rPr>
              <w:t>56.45</w:t>
            </w:r>
          </w:p>
        </w:tc>
        <w:tc>
          <w:tcPr>
            <w:tcW w:w="1079" w:type="dxa"/>
            <w:vAlign w:val="center"/>
          </w:tcPr>
          <w:p>
            <w:pPr>
              <w:spacing w:line="320" w:lineRule="exact"/>
              <w:jc w:val="center"/>
              <w:rPr>
                <w:sz w:val="24"/>
                <w:szCs w:val="24"/>
              </w:rPr>
            </w:pPr>
            <w:r>
              <w:rPr>
                <w:sz w:val="24"/>
                <w:szCs w:val="24"/>
              </w:rPr>
              <w:t>56.45</w:t>
            </w:r>
          </w:p>
        </w:tc>
        <w:tc>
          <w:tcPr>
            <w:tcW w:w="1134" w:type="dxa"/>
            <w:vAlign w:val="center"/>
          </w:tcPr>
          <w:p>
            <w:pPr>
              <w:spacing w:line="320" w:lineRule="exact"/>
              <w:jc w:val="center"/>
              <w:rPr>
                <w:sz w:val="24"/>
                <w:szCs w:val="24"/>
              </w:rPr>
            </w:pPr>
            <w:r>
              <w:rPr>
                <w:sz w:val="24"/>
                <w:szCs w:val="24"/>
              </w:rPr>
              <w:t>100%</w:t>
            </w:r>
          </w:p>
        </w:tc>
        <w:tc>
          <w:tcPr>
            <w:tcW w:w="1413" w:type="dxa"/>
            <w:vAlign w:val="center"/>
          </w:tcPr>
          <w:p>
            <w:pPr>
              <w:spacing w:line="320" w:lineRule="exact"/>
              <w:jc w:val="center"/>
              <w:rPr>
                <w:sz w:val="24"/>
                <w:szCs w:val="24"/>
              </w:rPr>
            </w:pPr>
            <w:r>
              <w:rPr>
                <w:sz w:val="24"/>
                <w:szCs w:val="24"/>
              </w:rPr>
              <w:t xml:space="preserve"> </w:t>
            </w:r>
          </w:p>
        </w:tc>
        <w:tc>
          <w:tcPr>
            <w:tcW w:w="3082" w:type="dxa"/>
            <w:vAlign w:val="center"/>
          </w:tcPr>
          <w:p>
            <w:pPr>
              <w:spacing w:line="320" w:lineRule="exact"/>
              <w:rPr>
                <w:sz w:val="24"/>
                <w:szCs w:val="24"/>
              </w:rPr>
            </w:pPr>
            <w:r>
              <w:rPr>
                <w:rFonts w:hint="eastAsia" w:ascii="仿宋_GB2312" w:eastAsia="仿宋_GB2312"/>
                <w:sz w:val="24"/>
                <w:szCs w:val="24"/>
              </w:rPr>
              <w:t>建立了城乡生活垃圾分类收运处置系统。农村生活垃圾中的易腐垃圾运送到村可降解垃圾沤肥池降解处理；城市生活垃圾中的易腐垃圾与其他垃圾运输到市生活垃圾卫生填埋场进行分区填埋处理。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249" w:type="dxa"/>
            <w:vAlign w:val="center"/>
          </w:tcPr>
          <w:p>
            <w:pPr>
              <w:spacing w:line="320" w:lineRule="exact"/>
              <w:jc w:val="center"/>
              <w:rPr>
                <w:rFonts w:ascii="黑体" w:hAnsi="黑体" w:eastAsia="黑体"/>
                <w:sz w:val="24"/>
                <w:szCs w:val="24"/>
              </w:rPr>
            </w:pPr>
            <w:r>
              <w:rPr>
                <w:rFonts w:hint="eastAsia" w:ascii="黑体" w:hAnsi="黑体" w:eastAsia="黑体"/>
                <w:sz w:val="24"/>
                <w:szCs w:val="24"/>
              </w:rPr>
              <w:t>一般工业固体废物</w:t>
            </w:r>
          </w:p>
        </w:tc>
        <w:tc>
          <w:tcPr>
            <w:tcW w:w="1098" w:type="dxa"/>
            <w:vAlign w:val="center"/>
          </w:tcPr>
          <w:p>
            <w:pPr>
              <w:spacing w:line="320" w:lineRule="exact"/>
              <w:jc w:val="center"/>
              <w:rPr>
                <w:sz w:val="24"/>
                <w:szCs w:val="24"/>
              </w:rPr>
            </w:pPr>
            <w:r>
              <w:rPr>
                <w:sz w:val="24"/>
                <w:szCs w:val="24"/>
              </w:rPr>
              <w:t>145.29</w:t>
            </w:r>
          </w:p>
        </w:tc>
        <w:tc>
          <w:tcPr>
            <w:tcW w:w="1079" w:type="dxa"/>
            <w:vAlign w:val="center"/>
          </w:tcPr>
          <w:p>
            <w:pPr>
              <w:spacing w:line="320" w:lineRule="exact"/>
              <w:jc w:val="center"/>
              <w:rPr>
                <w:sz w:val="24"/>
                <w:szCs w:val="24"/>
              </w:rPr>
            </w:pPr>
            <w:r>
              <w:rPr>
                <w:sz w:val="24"/>
                <w:szCs w:val="24"/>
              </w:rPr>
              <w:t>145.29</w:t>
            </w:r>
          </w:p>
        </w:tc>
        <w:tc>
          <w:tcPr>
            <w:tcW w:w="1134" w:type="dxa"/>
            <w:vAlign w:val="center"/>
          </w:tcPr>
          <w:p>
            <w:pPr>
              <w:spacing w:line="320" w:lineRule="exact"/>
              <w:jc w:val="center"/>
              <w:rPr>
                <w:sz w:val="24"/>
                <w:szCs w:val="24"/>
              </w:rPr>
            </w:pPr>
            <w:r>
              <w:rPr>
                <w:sz w:val="24"/>
                <w:szCs w:val="24"/>
              </w:rPr>
              <w:t>100%</w:t>
            </w:r>
          </w:p>
        </w:tc>
        <w:tc>
          <w:tcPr>
            <w:tcW w:w="1413" w:type="dxa"/>
            <w:vAlign w:val="center"/>
          </w:tcPr>
          <w:p>
            <w:pPr>
              <w:spacing w:line="320" w:lineRule="exact"/>
              <w:jc w:val="center"/>
              <w:rPr>
                <w:sz w:val="24"/>
                <w:szCs w:val="24"/>
              </w:rPr>
            </w:pPr>
          </w:p>
        </w:tc>
        <w:tc>
          <w:tcPr>
            <w:tcW w:w="3082" w:type="dxa"/>
            <w:vAlign w:val="center"/>
          </w:tcPr>
          <w:p>
            <w:pPr>
              <w:spacing w:line="320" w:lineRule="exact"/>
              <w:rPr>
                <w:sz w:val="24"/>
                <w:szCs w:val="24"/>
              </w:rPr>
            </w:pPr>
            <w:r>
              <w:rPr>
                <w:rFonts w:hint="eastAsia" w:ascii="仿宋_GB2312" w:hAnsi="仿宋_GB2312" w:eastAsia="仿宋_GB2312" w:cs="仿宋_GB2312"/>
                <w:sz w:val="24"/>
                <w:szCs w:val="24"/>
              </w:rPr>
              <w:t>有</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家一般工业固废利用单位，半停产状态。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249" w:type="dxa"/>
            <w:vAlign w:val="center"/>
          </w:tcPr>
          <w:p>
            <w:pPr>
              <w:spacing w:line="320" w:lineRule="exact"/>
              <w:jc w:val="center"/>
              <w:rPr>
                <w:rFonts w:ascii="黑体" w:hAnsi="黑体" w:eastAsia="黑体"/>
                <w:sz w:val="24"/>
                <w:szCs w:val="24"/>
              </w:rPr>
            </w:pPr>
            <w:r>
              <w:rPr>
                <w:rFonts w:hint="eastAsia" w:ascii="黑体" w:hAnsi="黑体" w:eastAsia="黑体"/>
                <w:sz w:val="24"/>
                <w:szCs w:val="24"/>
              </w:rPr>
              <w:t>危险工业固体废物</w:t>
            </w:r>
          </w:p>
        </w:tc>
        <w:tc>
          <w:tcPr>
            <w:tcW w:w="1098" w:type="dxa"/>
            <w:vAlign w:val="center"/>
          </w:tcPr>
          <w:p>
            <w:pPr>
              <w:spacing w:line="320" w:lineRule="exact"/>
              <w:jc w:val="center"/>
              <w:rPr>
                <w:sz w:val="24"/>
                <w:szCs w:val="24"/>
              </w:rPr>
            </w:pPr>
            <w:r>
              <w:rPr>
                <w:sz w:val="24"/>
                <w:szCs w:val="24"/>
              </w:rPr>
              <w:t>25.4</w:t>
            </w:r>
          </w:p>
        </w:tc>
        <w:tc>
          <w:tcPr>
            <w:tcW w:w="1079" w:type="dxa"/>
            <w:vAlign w:val="center"/>
          </w:tcPr>
          <w:p>
            <w:pPr>
              <w:spacing w:line="320" w:lineRule="exact"/>
              <w:jc w:val="center"/>
              <w:rPr>
                <w:sz w:val="24"/>
                <w:szCs w:val="24"/>
              </w:rPr>
            </w:pPr>
            <w:r>
              <w:rPr>
                <w:sz w:val="24"/>
                <w:szCs w:val="24"/>
              </w:rPr>
              <w:t>25.4</w:t>
            </w:r>
          </w:p>
        </w:tc>
        <w:tc>
          <w:tcPr>
            <w:tcW w:w="1134" w:type="dxa"/>
            <w:vAlign w:val="center"/>
          </w:tcPr>
          <w:p>
            <w:pPr>
              <w:spacing w:line="320" w:lineRule="exact"/>
              <w:jc w:val="center"/>
              <w:rPr>
                <w:sz w:val="24"/>
                <w:szCs w:val="24"/>
              </w:rPr>
            </w:pPr>
            <w:r>
              <w:rPr>
                <w:sz w:val="24"/>
                <w:szCs w:val="24"/>
              </w:rPr>
              <w:t>100%</w:t>
            </w:r>
          </w:p>
        </w:tc>
        <w:tc>
          <w:tcPr>
            <w:tcW w:w="1413" w:type="dxa"/>
            <w:vAlign w:val="center"/>
          </w:tcPr>
          <w:p>
            <w:pPr>
              <w:spacing w:line="32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53.25</w:t>
            </w:r>
          </w:p>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万吨</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年</w:t>
            </w:r>
          </w:p>
        </w:tc>
        <w:tc>
          <w:tcPr>
            <w:tcW w:w="3082" w:type="dxa"/>
            <w:vAlign w:val="center"/>
          </w:tcPr>
          <w:p>
            <w:pPr>
              <w:spacing w:line="320" w:lineRule="exact"/>
              <w:rPr>
                <w:sz w:val="24"/>
                <w:szCs w:val="24"/>
              </w:rPr>
            </w:pPr>
            <w:r>
              <w:rPr>
                <w:rFonts w:hint="eastAsia" w:ascii="仿宋_GB2312" w:hAnsi="仿宋_GB2312" w:eastAsia="仿宋_GB2312" w:cs="仿宋_GB2312"/>
                <w:sz w:val="24"/>
                <w:szCs w:val="24"/>
              </w:rPr>
              <w:t>有</w:t>
            </w:r>
            <w:r>
              <w:rPr>
                <w:rFonts w:ascii="仿宋_GB2312" w:hAnsi="仿宋_GB2312" w:eastAsia="仿宋_GB2312" w:cs="仿宋_GB2312"/>
                <w:sz w:val="24"/>
                <w:szCs w:val="24"/>
              </w:rPr>
              <w:t>8</w:t>
            </w:r>
            <w:r>
              <w:rPr>
                <w:rFonts w:hint="eastAsia" w:ascii="仿宋_GB2312" w:hAnsi="仿宋_GB2312" w:eastAsia="仿宋_GB2312" w:cs="仿宋_GB2312"/>
                <w:sz w:val="24"/>
                <w:szCs w:val="24"/>
              </w:rPr>
              <w:t>家危废利用处置单位，</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家危废运输单位。正常运营。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249" w:type="dxa"/>
            <w:vAlign w:val="center"/>
          </w:tcPr>
          <w:p>
            <w:pPr>
              <w:spacing w:line="320" w:lineRule="exact"/>
              <w:jc w:val="center"/>
              <w:rPr>
                <w:rFonts w:ascii="黑体" w:hAnsi="黑体" w:eastAsia="黑体"/>
                <w:sz w:val="24"/>
                <w:szCs w:val="24"/>
              </w:rPr>
            </w:pPr>
            <w:r>
              <w:rPr>
                <w:rFonts w:hint="eastAsia" w:ascii="黑体" w:hAnsi="黑体" w:eastAsia="黑体"/>
                <w:sz w:val="24"/>
                <w:szCs w:val="24"/>
              </w:rPr>
              <w:t>医疗废物</w:t>
            </w:r>
          </w:p>
        </w:tc>
        <w:tc>
          <w:tcPr>
            <w:tcW w:w="1098" w:type="dxa"/>
            <w:vAlign w:val="center"/>
          </w:tcPr>
          <w:p>
            <w:pPr>
              <w:spacing w:line="320" w:lineRule="exact"/>
              <w:jc w:val="center"/>
              <w:rPr>
                <w:sz w:val="24"/>
                <w:szCs w:val="24"/>
              </w:rPr>
            </w:pPr>
            <w:r>
              <w:rPr>
                <w:sz w:val="24"/>
                <w:szCs w:val="24"/>
              </w:rPr>
              <w:t>0.12</w:t>
            </w:r>
          </w:p>
        </w:tc>
        <w:tc>
          <w:tcPr>
            <w:tcW w:w="1079" w:type="dxa"/>
            <w:vAlign w:val="center"/>
          </w:tcPr>
          <w:p>
            <w:pPr>
              <w:spacing w:line="320" w:lineRule="exact"/>
              <w:jc w:val="center"/>
              <w:rPr>
                <w:sz w:val="24"/>
                <w:szCs w:val="24"/>
              </w:rPr>
            </w:pPr>
            <w:r>
              <w:rPr>
                <w:sz w:val="24"/>
                <w:szCs w:val="24"/>
              </w:rPr>
              <w:t>0.12</w:t>
            </w:r>
          </w:p>
        </w:tc>
        <w:tc>
          <w:tcPr>
            <w:tcW w:w="1134" w:type="dxa"/>
            <w:vAlign w:val="center"/>
          </w:tcPr>
          <w:p>
            <w:pPr>
              <w:spacing w:line="320" w:lineRule="exact"/>
              <w:jc w:val="center"/>
              <w:rPr>
                <w:sz w:val="24"/>
                <w:szCs w:val="24"/>
              </w:rPr>
            </w:pPr>
            <w:r>
              <w:rPr>
                <w:sz w:val="24"/>
                <w:szCs w:val="24"/>
              </w:rPr>
              <w:t>100%</w:t>
            </w:r>
          </w:p>
        </w:tc>
        <w:tc>
          <w:tcPr>
            <w:tcW w:w="1413" w:type="dxa"/>
            <w:vAlign w:val="center"/>
          </w:tcPr>
          <w:p>
            <w:pPr>
              <w:spacing w:line="32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0.55</w:t>
            </w:r>
          </w:p>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万吨</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年</w:t>
            </w:r>
          </w:p>
        </w:tc>
        <w:tc>
          <w:tcPr>
            <w:tcW w:w="3082" w:type="dxa"/>
            <w:vAlign w:val="center"/>
          </w:tcPr>
          <w:p>
            <w:pPr>
              <w:spacing w:line="320" w:lineRule="exact"/>
              <w:rPr>
                <w:sz w:val="24"/>
                <w:szCs w:val="24"/>
              </w:rPr>
            </w:pPr>
            <w:r>
              <w:rPr>
                <w:rFonts w:hint="eastAsia" w:ascii="仿宋_GB2312" w:hAnsi="仿宋_GB2312" w:eastAsia="仿宋_GB2312" w:cs="仿宋_GB2312"/>
                <w:sz w:val="24"/>
                <w:szCs w:val="24"/>
              </w:rPr>
              <w:t>有</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家医疗废物处置单位，</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家医疗废物运输单位。正常运营。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249" w:type="dxa"/>
            <w:vAlign w:val="center"/>
          </w:tcPr>
          <w:p>
            <w:pPr>
              <w:spacing w:line="320" w:lineRule="exact"/>
              <w:jc w:val="center"/>
              <w:rPr>
                <w:rFonts w:ascii="黑体" w:hAnsi="黑体" w:eastAsia="黑体"/>
                <w:sz w:val="24"/>
                <w:szCs w:val="24"/>
              </w:rPr>
            </w:pPr>
            <w:r>
              <w:rPr>
                <w:rFonts w:hint="eastAsia" w:ascii="黑体" w:hAnsi="黑体" w:eastAsia="黑体"/>
                <w:sz w:val="24"/>
                <w:szCs w:val="24"/>
              </w:rPr>
              <w:t>建筑垃圾</w:t>
            </w:r>
          </w:p>
        </w:tc>
        <w:tc>
          <w:tcPr>
            <w:tcW w:w="1098" w:type="dxa"/>
            <w:vAlign w:val="center"/>
          </w:tcPr>
          <w:p>
            <w:pPr>
              <w:spacing w:line="320" w:lineRule="exact"/>
              <w:jc w:val="center"/>
              <w:rPr>
                <w:sz w:val="24"/>
                <w:szCs w:val="24"/>
              </w:rPr>
            </w:pPr>
            <w:r>
              <w:rPr>
                <w:sz w:val="24"/>
                <w:szCs w:val="24"/>
              </w:rPr>
              <w:t>1.44</w:t>
            </w:r>
          </w:p>
        </w:tc>
        <w:tc>
          <w:tcPr>
            <w:tcW w:w="1079" w:type="dxa"/>
            <w:vAlign w:val="center"/>
          </w:tcPr>
          <w:p>
            <w:pPr>
              <w:spacing w:line="320" w:lineRule="exact"/>
              <w:jc w:val="center"/>
              <w:rPr>
                <w:sz w:val="24"/>
                <w:szCs w:val="24"/>
              </w:rPr>
            </w:pPr>
            <w:r>
              <w:rPr>
                <w:sz w:val="24"/>
                <w:szCs w:val="24"/>
              </w:rPr>
              <w:t>1.44</w:t>
            </w:r>
          </w:p>
        </w:tc>
        <w:tc>
          <w:tcPr>
            <w:tcW w:w="1134" w:type="dxa"/>
            <w:vAlign w:val="center"/>
          </w:tcPr>
          <w:p>
            <w:pPr>
              <w:spacing w:line="320" w:lineRule="exact"/>
              <w:jc w:val="center"/>
              <w:rPr>
                <w:sz w:val="24"/>
                <w:szCs w:val="24"/>
              </w:rPr>
            </w:pPr>
            <w:r>
              <w:rPr>
                <w:sz w:val="24"/>
                <w:szCs w:val="24"/>
              </w:rPr>
              <w:t>100%</w:t>
            </w:r>
          </w:p>
        </w:tc>
        <w:tc>
          <w:tcPr>
            <w:tcW w:w="1413" w:type="dxa"/>
            <w:vAlign w:val="center"/>
          </w:tcPr>
          <w:p>
            <w:pPr>
              <w:spacing w:line="320" w:lineRule="exact"/>
              <w:jc w:val="center"/>
              <w:rPr>
                <w:sz w:val="24"/>
                <w:szCs w:val="24"/>
              </w:rPr>
            </w:pPr>
          </w:p>
        </w:tc>
        <w:tc>
          <w:tcPr>
            <w:tcW w:w="3082" w:type="dxa"/>
            <w:vAlign w:val="center"/>
          </w:tcPr>
          <w:p>
            <w:pPr>
              <w:spacing w:line="320" w:lineRule="exact"/>
              <w:rPr>
                <w:rFonts w:ascii="仿宋_GB2312" w:eastAsia="仿宋_GB2312"/>
                <w:sz w:val="24"/>
                <w:szCs w:val="24"/>
              </w:rPr>
            </w:pPr>
            <w:r>
              <w:rPr>
                <w:rFonts w:hint="eastAsia" w:ascii="仿宋_GB2312" w:eastAsia="仿宋_GB2312"/>
                <w:sz w:val="24"/>
                <w:szCs w:val="24"/>
              </w:rPr>
              <w:t>三区一县和辽东湾新区均建设了建筑垃圾消纳场，建筑垃圾都在本辖区消纳。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249" w:type="dxa"/>
            <w:vAlign w:val="center"/>
          </w:tcPr>
          <w:p>
            <w:pPr>
              <w:spacing w:line="320" w:lineRule="exact"/>
              <w:jc w:val="center"/>
              <w:rPr>
                <w:rFonts w:ascii="黑体" w:hAnsi="黑体" w:eastAsia="黑体"/>
                <w:sz w:val="24"/>
                <w:szCs w:val="24"/>
              </w:rPr>
            </w:pPr>
            <w:r>
              <w:rPr>
                <w:rFonts w:hint="eastAsia" w:ascii="黑体" w:hAnsi="黑体" w:eastAsia="黑体"/>
                <w:sz w:val="24"/>
                <w:szCs w:val="24"/>
              </w:rPr>
              <w:t>农业秸秆</w:t>
            </w:r>
          </w:p>
        </w:tc>
        <w:tc>
          <w:tcPr>
            <w:tcW w:w="1098" w:type="dxa"/>
            <w:vAlign w:val="center"/>
          </w:tcPr>
          <w:p>
            <w:pPr>
              <w:spacing w:line="320" w:lineRule="exact"/>
              <w:jc w:val="center"/>
              <w:rPr>
                <w:sz w:val="24"/>
                <w:szCs w:val="24"/>
              </w:rPr>
            </w:pPr>
            <w:r>
              <w:rPr>
                <w:sz w:val="24"/>
                <w:szCs w:val="24"/>
              </w:rPr>
              <w:t>103.55</w:t>
            </w:r>
          </w:p>
        </w:tc>
        <w:tc>
          <w:tcPr>
            <w:tcW w:w="1079" w:type="dxa"/>
            <w:vAlign w:val="center"/>
          </w:tcPr>
          <w:p>
            <w:pPr>
              <w:spacing w:line="320" w:lineRule="exact"/>
              <w:jc w:val="center"/>
              <w:rPr>
                <w:sz w:val="24"/>
                <w:szCs w:val="24"/>
              </w:rPr>
            </w:pPr>
            <w:r>
              <w:rPr>
                <w:sz w:val="24"/>
                <w:szCs w:val="24"/>
              </w:rPr>
              <w:t>95.91</w:t>
            </w:r>
          </w:p>
        </w:tc>
        <w:tc>
          <w:tcPr>
            <w:tcW w:w="1134" w:type="dxa"/>
            <w:vAlign w:val="center"/>
          </w:tcPr>
          <w:p>
            <w:pPr>
              <w:spacing w:line="320" w:lineRule="exact"/>
              <w:jc w:val="center"/>
              <w:rPr>
                <w:sz w:val="24"/>
                <w:szCs w:val="24"/>
              </w:rPr>
            </w:pPr>
            <w:r>
              <w:rPr>
                <w:sz w:val="24"/>
                <w:szCs w:val="24"/>
              </w:rPr>
              <w:t>92.62%</w:t>
            </w:r>
          </w:p>
        </w:tc>
        <w:tc>
          <w:tcPr>
            <w:tcW w:w="1413" w:type="dxa"/>
          </w:tcPr>
          <w:p>
            <w:pPr>
              <w:spacing w:line="320" w:lineRule="exact"/>
              <w:rPr>
                <w:sz w:val="24"/>
                <w:szCs w:val="24"/>
              </w:rPr>
            </w:pPr>
          </w:p>
        </w:tc>
        <w:tc>
          <w:tcPr>
            <w:tcW w:w="3082" w:type="dxa"/>
            <w:vAlign w:val="center"/>
          </w:tcPr>
          <w:p>
            <w:pPr>
              <w:spacing w:line="320" w:lineRule="exact"/>
              <w:rPr>
                <w:rFonts w:ascii="仿宋_GB2312" w:eastAsia="仿宋_GB2312"/>
                <w:sz w:val="24"/>
                <w:szCs w:val="24"/>
              </w:rPr>
            </w:pPr>
            <w:r>
              <w:rPr>
                <w:rFonts w:hint="eastAsia" w:ascii="仿宋_GB2312" w:eastAsia="仿宋_GB2312"/>
                <w:sz w:val="24"/>
                <w:szCs w:val="24"/>
              </w:rPr>
              <w:t>有</w:t>
            </w:r>
            <w:r>
              <w:rPr>
                <w:rFonts w:ascii="仿宋_GB2312" w:eastAsia="仿宋_GB2312"/>
                <w:sz w:val="24"/>
                <w:szCs w:val="24"/>
              </w:rPr>
              <w:t>17</w:t>
            </w:r>
            <w:r>
              <w:rPr>
                <w:rFonts w:hint="eastAsia" w:ascii="仿宋_GB2312" w:eastAsia="仿宋_GB2312"/>
                <w:sz w:val="24"/>
                <w:szCs w:val="24"/>
              </w:rPr>
              <w:t>家回收利用企业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249" w:type="dxa"/>
            <w:vAlign w:val="center"/>
          </w:tcPr>
          <w:p>
            <w:pPr>
              <w:spacing w:line="320" w:lineRule="exact"/>
              <w:jc w:val="center"/>
              <w:rPr>
                <w:rFonts w:ascii="黑体" w:hAnsi="黑体" w:eastAsia="黑体"/>
                <w:sz w:val="24"/>
                <w:szCs w:val="24"/>
              </w:rPr>
            </w:pPr>
            <w:r>
              <w:rPr>
                <w:rFonts w:hint="eastAsia" w:ascii="黑体" w:hAnsi="黑体" w:eastAsia="黑体"/>
                <w:sz w:val="24"/>
                <w:szCs w:val="24"/>
              </w:rPr>
              <w:t>农膜</w:t>
            </w:r>
          </w:p>
        </w:tc>
        <w:tc>
          <w:tcPr>
            <w:tcW w:w="1098" w:type="dxa"/>
            <w:vAlign w:val="center"/>
          </w:tcPr>
          <w:p>
            <w:pPr>
              <w:spacing w:line="320" w:lineRule="exact"/>
              <w:jc w:val="center"/>
              <w:rPr>
                <w:sz w:val="24"/>
                <w:szCs w:val="24"/>
              </w:rPr>
            </w:pPr>
            <w:r>
              <w:rPr>
                <w:sz w:val="24"/>
                <w:szCs w:val="24"/>
              </w:rPr>
              <w:t>0.195</w:t>
            </w:r>
          </w:p>
        </w:tc>
        <w:tc>
          <w:tcPr>
            <w:tcW w:w="1079" w:type="dxa"/>
            <w:vAlign w:val="center"/>
          </w:tcPr>
          <w:p>
            <w:pPr>
              <w:spacing w:line="320" w:lineRule="exact"/>
              <w:jc w:val="center"/>
              <w:rPr>
                <w:sz w:val="24"/>
                <w:szCs w:val="24"/>
              </w:rPr>
            </w:pPr>
            <w:r>
              <w:rPr>
                <w:sz w:val="24"/>
                <w:szCs w:val="24"/>
              </w:rPr>
              <w:t>0.076</w:t>
            </w:r>
          </w:p>
        </w:tc>
        <w:tc>
          <w:tcPr>
            <w:tcW w:w="1134" w:type="dxa"/>
            <w:vAlign w:val="center"/>
          </w:tcPr>
          <w:p>
            <w:pPr>
              <w:spacing w:line="320" w:lineRule="exact"/>
              <w:jc w:val="center"/>
              <w:rPr>
                <w:sz w:val="24"/>
                <w:szCs w:val="24"/>
              </w:rPr>
            </w:pPr>
            <w:r>
              <w:rPr>
                <w:sz w:val="24"/>
                <w:szCs w:val="24"/>
              </w:rPr>
              <w:t>38.97%</w:t>
            </w:r>
          </w:p>
        </w:tc>
        <w:tc>
          <w:tcPr>
            <w:tcW w:w="1413" w:type="dxa"/>
          </w:tcPr>
          <w:p>
            <w:pPr>
              <w:spacing w:line="320" w:lineRule="exact"/>
              <w:rPr>
                <w:sz w:val="24"/>
                <w:szCs w:val="24"/>
              </w:rPr>
            </w:pPr>
          </w:p>
        </w:tc>
        <w:tc>
          <w:tcPr>
            <w:tcW w:w="3082" w:type="dxa"/>
            <w:vAlign w:val="center"/>
          </w:tcPr>
          <w:p>
            <w:pPr>
              <w:spacing w:line="320" w:lineRule="exact"/>
              <w:rPr>
                <w:rFonts w:ascii="仿宋_GB2312" w:eastAsia="仿宋_GB2312"/>
                <w:sz w:val="24"/>
                <w:szCs w:val="24"/>
              </w:rPr>
            </w:pPr>
            <w:r>
              <w:rPr>
                <w:rFonts w:hint="eastAsia" w:ascii="仿宋_GB2312" w:eastAsia="仿宋_GB2312"/>
                <w:sz w:val="24"/>
                <w:szCs w:val="24"/>
              </w:rPr>
              <w:t>无回收利用企业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49" w:type="dxa"/>
            <w:vAlign w:val="center"/>
          </w:tcPr>
          <w:p>
            <w:pPr>
              <w:spacing w:line="320" w:lineRule="exact"/>
              <w:jc w:val="center"/>
              <w:rPr>
                <w:rFonts w:ascii="黑体" w:hAnsi="黑体" w:eastAsia="黑体"/>
                <w:sz w:val="24"/>
                <w:szCs w:val="24"/>
              </w:rPr>
            </w:pPr>
            <w:r>
              <w:rPr>
                <w:rFonts w:hint="eastAsia" w:ascii="黑体" w:hAnsi="黑体" w:eastAsia="黑体"/>
                <w:sz w:val="24"/>
                <w:szCs w:val="24"/>
              </w:rPr>
              <w:t>畜禽粪污</w:t>
            </w:r>
          </w:p>
        </w:tc>
        <w:tc>
          <w:tcPr>
            <w:tcW w:w="1098" w:type="dxa"/>
            <w:vAlign w:val="center"/>
          </w:tcPr>
          <w:p>
            <w:pPr>
              <w:spacing w:line="320" w:lineRule="exact"/>
              <w:jc w:val="center"/>
              <w:rPr>
                <w:sz w:val="24"/>
                <w:szCs w:val="24"/>
              </w:rPr>
            </w:pPr>
            <w:r>
              <w:rPr>
                <w:sz w:val="24"/>
                <w:szCs w:val="24"/>
              </w:rPr>
              <w:t>160.5</w:t>
            </w:r>
          </w:p>
        </w:tc>
        <w:tc>
          <w:tcPr>
            <w:tcW w:w="1079" w:type="dxa"/>
            <w:vAlign w:val="center"/>
          </w:tcPr>
          <w:p>
            <w:pPr>
              <w:spacing w:line="320" w:lineRule="exact"/>
              <w:jc w:val="center"/>
              <w:rPr>
                <w:sz w:val="24"/>
                <w:szCs w:val="24"/>
              </w:rPr>
            </w:pPr>
            <w:r>
              <w:rPr>
                <w:sz w:val="24"/>
                <w:szCs w:val="24"/>
              </w:rPr>
              <w:t>124.5</w:t>
            </w:r>
          </w:p>
        </w:tc>
        <w:tc>
          <w:tcPr>
            <w:tcW w:w="1134" w:type="dxa"/>
            <w:vAlign w:val="center"/>
          </w:tcPr>
          <w:p>
            <w:pPr>
              <w:spacing w:line="320" w:lineRule="exact"/>
              <w:jc w:val="center"/>
              <w:rPr>
                <w:sz w:val="24"/>
                <w:szCs w:val="24"/>
              </w:rPr>
            </w:pPr>
            <w:r>
              <w:rPr>
                <w:sz w:val="24"/>
                <w:szCs w:val="24"/>
              </w:rPr>
              <w:t>77.57%</w:t>
            </w:r>
          </w:p>
        </w:tc>
        <w:tc>
          <w:tcPr>
            <w:tcW w:w="1413" w:type="dxa"/>
          </w:tcPr>
          <w:p>
            <w:pPr>
              <w:spacing w:line="320" w:lineRule="exact"/>
              <w:rPr>
                <w:sz w:val="24"/>
                <w:szCs w:val="24"/>
              </w:rPr>
            </w:pPr>
          </w:p>
        </w:tc>
        <w:tc>
          <w:tcPr>
            <w:tcW w:w="3082" w:type="dxa"/>
            <w:vAlign w:val="center"/>
          </w:tcPr>
          <w:p>
            <w:pPr>
              <w:spacing w:line="320" w:lineRule="exact"/>
              <w:rPr>
                <w:rFonts w:ascii="仿宋_GB2312" w:eastAsia="仿宋_GB2312"/>
                <w:sz w:val="24"/>
                <w:szCs w:val="24"/>
              </w:rPr>
            </w:pPr>
            <w:r>
              <w:rPr>
                <w:rFonts w:hint="eastAsia" w:ascii="仿宋_GB2312" w:eastAsia="仿宋_GB2312"/>
                <w:sz w:val="24"/>
                <w:szCs w:val="24"/>
              </w:rPr>
              <w:t>有</w:t>
            </w:r>
            <w:r>
              <w:rPr>
                <w:rFonts w:ascii="仿宋_GB2312" w:eastAsia="仿宋_GB2312"/>
                <w:sz w:val="24"/>
                <w:szCs w:val="24"/>
              </w:rPr>
              <w:t>4</w:t>
            </w:r>
            <w:r>
              <w:rPr>
                <w:rFonts w:hint="eastAsia" w:ascii="仿宋_GB2312" w:eastAsia="仿宋_GB2312"/>
                <w:sz w:val="24"/>
                <w:szCs w:val="24"/>
              </w:rPr>
              <w:t>家利用企业</w:t>
            </w:r>
          </w:p>
        </w:tc>
      </w:tr>
    </w:tbl>
    <w:p>
      <w:pPr>
        <w:spacing w:line="660" w:lineRule="exact"/>
        <w:rPr>
          <w:rFonts w:ascii="仿宋_GB2312" w:eastAsia="仿宋_GB2312"/>
          <w:sz w:val="34"/>
          <w:szCs w:val="34"/>
        </w:rPr>
      </w:pPr>
      <w:r>
        <w:rPr>
          <w:rFonts w:ascii="仿宋_GB2312" w:eastAsia="仿宋_GB2312"/>
          <w:sz w:val="24"/>
          <w:szCs w:val="24"/>
        </w:rPr>
        <w:t xml:space="preserve">         </w:t>
      </w:r>
    </w:p>
    <w:sectPr>
      <w:footerReference r:id="rId3" w:type="default"/>
      <w:footerReference r:id="rId4" w:type="even"/>
      <w:pgSz w:w="11906" w:h="16838"/>
      <w:pgMar w:top="1701" w:right="1531" w:bottom="1701" w:left="1531" w:header="851" w:footer="141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ascii="宋体" w:cs="Calibri"/>
        <w:sz w:val="28"/>
        <w:szCs w:val="28"/>
      </w:rPr>
    </w:pPr>
    <w:r>
      <w:rPr>
        <w:rStyle w:val="12"/>
        <w:rFonts w:ascii="宋体" w:hAnsi="宋体" w:cs="Calibri"/>
        <w:sz w:val="28"/>
        <w:szCs w:val="28"/>
      </w:rPr>
      <w:t xml:space="preserve">— </w:t>
    </w:r>
    <w:r>
      <w:rPr>
        <w:rStyle w:val="12"/>
        <w:rFonts w:ascii="宋体" w:hAnsi="宋体" w:cs="Calibri"/>
        <w:sz w:val="28"/>
        <w:szCs w:val="28"/>
      </w:rPr>
      <w:fldChar w:fldCharType="begin"/>
    </w:r>
    <w:r>
      <w:rPr>
        <w:rStyle w:val="12"/>
        <w:rFonts w:ascii="宋体" w:hAnsi="宋体" w:cs="Calibri"/>
        <w:sz w:val="28"/>
        <w:szCs w:val="28"/>
      </w:rPr>
      <w:instrText xml:space="preserve">PAGE  </w:instrText>
    </w:r>
    <w:r>
      <w:rPr>
        <w:rStyle w:val="12"/>
        <w:rFonts w:ascii="宋体" w:hAnsi="宋体" w:cs="Calibri"/>
        <w:sz w:val="28"/>
        <w:szCs w:val="28"/>
      </w:rPr>
      <w:fldChar w:fldCharType="separate"/>
    </w:r>
    <w:r>
      <w:rPr>
        <w:rStyle w:val="12"/>
        <w:rFonts w:ascii="宋体" w:hAnsi="宋体" w:cs="Calibri"/>
        <w:sz w:val="28"/>
        <w:szCs w:val="28"/>
      </w:rPr>
      <w:t>11</w:t>
    </w:r>
    <w:r>
      <w:rPr>
        <w:rStyle w:val="12"/>
        <w:rFonts w:ascii="宋体" w:hAnsi="宋体" w:cs="Calibri"/>
        <w:sz w:val="28"/>
        <w:szCs w:val="28"/>
      </w:rPr>
      <w:fldChar w:fldCharType="end"/>
    </w:r>
    <w:r>
      <w:rPr>
        <w:rStyle w:val="12"/>
        <w:rFonts w:ascii="宋体" w:hAnsi="宋体" w:cs="Calibri"/>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cs="Calibri"/>
      </w:rPr>
    </w:pPr>
    <w:r>
      <w:rPr>
        <w:rStyle w:val="12"/>
        <w:rFonts w:cs="Calibri"/>
      </w:rPr>
      <w:fldChar w:fldCharType="begin"/>
    </w:r>
    <w:r>
      <w:rPr>
        <w:rStyle w:val="12"/>
        <w:rFonts w:cs="Calibri"/>
      </w:rPr>
      <w:instrText xml:space="preserve">PAGE  </w:instrText>
    </w:r>
    <w:r>
      <w:rPr>
        <w:rStyle w:val="12"/>
        <w:rFonts w:cs="Calibri"/>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NotTrackMoves/>
  <w:documentProtection w:enforcement="0"/>
  <w:defaultTabStop w:val="420"/>
  <w:doNotHyphenateCaps/>
  <w:drawingGridVerticalSpacing w:val="156"/>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77659"/>
    <w:rsid w:val="000027C5"/>
    <w:rsid w:val="00013F02"/>
    <w:rsid w:val="000143BD"/>
    <w:rsid w:val="0002586A"/>
    <w:rsid w:val="00026765"/>
    <w:rsid w:val="00042D06"/>
    <w:rsid w:val="00042EB1"/>
    <w:rsid w:val="000460E8"/>
    <w:rsid w:val="00064E75"/>
    <w:rsid w:val="00076B53"/>
    <w:rsid w:val="00081C09"/>
    <w:rsid w:val="000822C7"/>
    <w:rsid w:val="00085305"/>
    <w:rsid w:val="00094DE0"/>
    <w:rsid w:val="000A098C"/>
    <w:rsid w:val="000A459B"/>
    <w:rsid w:val="000B0225"/>
    <w:rsid w:val="000B2DEA"/>
    <w:rsid w:val="000B467C"/>
    <w:rsid w:val="000B4F50"/>
    <w:rsid w:val="000C2B9E"/>
    <w:rsid w:val="000C4D2C"/>
    <w:rsid w:val="000E5E47"/>
    <w:rsid w:val="000F3E57"/>
    <w:rsid w:val="00102A3C"/>
    <w:rsid w:val="00104FF3"/>
    <w:rsid w:val="00106744"/>
    <w:rsid w:val="0010769E"/>
    <w:rsid w:val="00114C00"/>
    <w:rsid w:val="00117FF6"/>
    <w:rsid w:val="00125FB9"/>
    <w:rsid w:val="001265FE"/>
    <w:rsid w:val="00127503"/>
    <w:rsid w:val="00134E74"/>
    <w:rsid w:val="00140A74"/>
    <w:rsid w:val="00160F56"/>
    <w:rsid w:val="001635CA"/>
    <w:rsid w:val="00175638"/>
    <w:rsid w:val="00177660"/>
    <w:rsid w:val="00181F6B"/>
    <w:rsid w:val="00182EC8"/>
    <w:rsid w:val="001A2603"/>
    <w:rsid w:val="001B4934"/>
    <w:rsid w:val="001B4B52"/>
    <w:rsid w:val="001C2CB1"/>
    <w:rsid w:val="001C3F80"/>
    <w:rsid w:val="001E4BBD"/>
    <w:rsid w:val="001E7088"/>
    <w:rsid w:val="001F16F8"/>
    <w:rsid w:val="00222402"/>
    <w:rsid w:val="00223108"/>
    <w:rsid w:val="002421CF"/>
    <w:rsid w:val="00253389"/>
    <w:rsid w:val="00272D6B"/>
    <w:rsid w:val="00275E0D"/>
    <w:rsid w:val="00281705"/>
    <w:rsid w:val="00284AAF"/>
    <w:rsid w:val="002A0AEC"/>
    <w:rsid w:val="002A17C6"/>
    <w:rsid w:val="002A1D3E"/>
    <w:rsid w:val="002C2E66"/>
    <w:rsid w:val="002C5597"/>
    <w:rsid w:val="002E1706"/>
    <w:rsid w:val="002E22B4"/>
    <w:rsid w:val="002F0631"/>
    <w:rsid w:val="002F19CB"/>
    <w:rsid w:val="002F343F"/>
    <w:rsid w:val="00324644"/>
    <w:rsid w:val="003349BD"/>
    <w:rsid w:val="00341632"/>
    <w:rsid w:val="00344E81"/>
    <w:rsid w:val="00355AA8"/>
    <w:rsid w:val="003609C1"/>
    <w:rsid w:val="003656B7"/>
    <w:rsid w:val="00377E1F"/>
    <w:rsid w:val="00392794"/>
    <w:rsid w:val="003A3C6A"/>
    <w:rsid w:val="003A5321"/>
    <w:rsid w:val="003A772B"/>
    <w:rsid w:val="003E1B33"/>
    <w:rsid w:val="003E2082"/>
    <w:rsid w:val="003E58DE"/>
    <w:rsid w:val="003F25AB"/>
    <w:rsid w:val="003F3BBF"/>
    <w:rsid w:val="004034FD"/>
    <w:rsid w:val="0041204A"/>
    <w:rsid w:val="00436D48"/>
    <w:rsid w:val="0046182A"/>
    <w:rsid w:val="004641E4"/>
    <w:rsid w:val="004674DD"/>
    <w:rsid w:val="00470D52"/>
    <w:rsid w:val="004733DC"/>
    <w:rsid w:val="00474CF6"/>
    <w:rsid w:val="0047647F"/>
    <w:rsid w:val="004807C6"/>
    <w:rsid w:val="00493F0D"/>
    <w:rsid w:val="004A207E"/>
    <w:rsid w:val="004A35F4"/>
    <w:rsid w:val="004A3C31"/>
    <w:rsid w:val="004B6049"/>
    <w:rsid w:val="004C757E"/>
    <w:rsid w:val="004C7764"/>
    <w:rsid w:val="004E287B"/>
    <w:rsid w:val="004E5FBC"/>
    <w:rsid w:val="004E6F37"/>
    <w:rsid w:val="004F623A"/>
    <w:rsid w:val="00513768"/>
    <w:rsid w:val="005311C4"/>
    <w:rsid w:val="00553BE9"/>
    <w:rsid w:val="00562364"/>
    <w:rsid w:val="005722E3"/>
    <w:rsid w:val="00576300"/>
    <w:rsid w:val="00583B2E"/>
    <w:rsid w:val="005A2C0A"/>
    <w:rsid w:val="005C1505"/>
    <w:rsid w:val="005E0161"/>
    <w:rsid w:val="005F491F"/>
    <w:rsid w:val="005F7736"/>
    <w:rsid w:val="00602669"/>
    <w:rsid w:val="006037BA"/>
    <w:rsid w:val="00613C9D"/>
    <w:rsid w:val="00614642"/>
    <w:rsid w:val="006320E1"/>
    <w:rsid w:val="00632B67"/>
    <w:rsid w:val="00642BB4"/>
    <w:rsid w:val="006436B4"/>
    <w:rsid w:val="006545FD"/>
    <w:rsid w:val="00663B9A"/>
    <w:rsid w:val="00664E7C"/>
    <w:rsid w:val="006713C1"/>
    <w:rsid w:val="00686C01"/>
    <w:rsid w:val="00690695"/>
    <w:rsid w:val="006A667F"/>
    <w:rsid w:val="006A7E01"/>
    <w:rsid w:val="006B16A4"/>
    <w:rsid w:val="006C09B8"/>
    <w:rsid w:val="006C119D"/>
    <w:rsid w:val="006C1D0A"/>
    <w:rsid w:val="006C33B6"/>
    <w:rsid w:val="006C3D44"/>
    <w:rsid w:val="006C4DF7"/>
    <w:rsid w:val="006C7B89"/>
    <w:rsid w:val="006D30A5"/>
    <w:rsid w:val="006F18A8"/>
    <w:rsid w:val="007103AC"/>
    <w:rsid w:val="00713BC2"/>
    <w:rsid w:val="007212FD"/>
    <w:rsid w:val="0072622A"/>
    <w:rsid w:val="007269DF"/>
    <w:rsid w:val="00731D37"/>
    <w:rsid w:val="0073300F"/>
    <w:rsid w:val="00735CAD"/>
    <w:rsid w:val="0073744A"/>
    <w:rsid w:val="00737814"/>
    <w:rsid w:val="00743A33"/>
    <w:rsid w:val="007440D9"/>
    <w:rsid w:val="00752679"/>
    <w:rsid w:val="007527CC"/>
    <w:rsid w:val="00757A54"/>
    <w:rsid w:val="00773724"/>
    <w:rsid w:val="007746D0"/>
    <w:rsid w:val="00777A13"/>
    <w:rsid w:val="00777CF9"/>
    <w:rsid w:val="00782826"/>
    <w:rsid w:val="00786B52"/>
    <w:rsid w:val="00787AB0"/>
    <w:rsid w:val="0079109B"/>
    <w:rsid w:val="00794162"/>
    <w:rsid w:val="00794F1F"/>
    <w:rsid w:val="007C6DDC"/>
    <w:rsid w:val="007D52BE"/>
    <w:rsid w:val="007D69F6"/>
    <w:rsid w:val="007E6C42"/>
    <w:rsid w:val="007F5EF5"/>
    <w:rsid w:val="00813D5F"/>
    <w:rsid w:val="00814F2A"/>
    <w:rsid w:val="00816707"/>
    <w:rsid w:val="008201ED"/>
    <w:rsid w:val="00825584"/>
    <w:rsid w:val="00827152"/>
    <w:rsid w:val="00834E64"/>
    <w:rsid w:val="008412D5"/>
    <w:rsid w:val="00851DD0"/>
    <w:rsid w:val="0086169B"/>
    <w:rsid w:val="00862418"/>
    <w:rsid w:val="0086663F"/>
    <w:rsid w:val="00870533"/>
    <w:rsid w:val="0088045C"/>
    <w:rsid w:val="00882883"/>
    <w:rsid w:val="00892415"/>
    <w:rsid w:val="00892A88"/>
    <w:rsid w:val="00892AE1"/>
    <w:rsid w:val="00896786"/>
    <w:rsid w:val="008A6BE6"/>
    <w:rsid w:val="008A6F13"/>
    <w:rsid w:val="008B2974"/>
    <w:rsid w:val="008C70CF"/>
    <w:rsid w:val="008D2EB5"/>
    <w:rsid w:val="008D6D4A"/>
    <w:rsid w:val="008E2F62"/>
    <w:rsid w:val="008E3957"/>
    <w:rsid w:val="00910A99"/>
    <w:rsid w:val="0092474D"/>
    <w:rsid w:val="00927A4E"/>
    <w:rsid w:val="00940CAA"/>
    <w:rsid w:val="00943DDD"/>
    <w:rsid w:val="009543F0"/>
    <w:rsid w:val="00957DAC"/>
    <w:rsid w:val="00967CBD"/>
    <w:rsid w:val="009736D8"/>
    <w:rsid w:val="0098286C"/>
    <w:rsid w:val="00987A3B"/>
    <w:rsid w:val="00995A01"/>
    <w:rsid w:val="009969BB"/>
    <w:rsid w:val="009A026F"/>
    <w:rsid w:val="009A3781"/>
    <w:rsid w:val="009A55B7"/>
    <w:rsid w:val="009B176D"/>
    <w:rsid w:val="009B4C4F"/>
    <w:rsid w:val="009B5326"/>
    <w:rsid w:val="009C310D"/>
    <w:rsid w:val="009C5236"/>
    <w:rsid w:val="009C6CB9"/>
    <w:rsid w:val="009E582E"/>
    <w:rsid w:val="009E6602"/>
    <w:rsid w:val="009E6F00"/>
    <w:rsid w:val="009E715D"/>
    <w:rsid w:val="00A024D2"/>
    <w:rsid w:val="00A0272F"/>
    <w:rsid w:val="00A07C87"/>
    <w:rsid w:val="00A10E1B"/>
    <w:rsid w:val="00A1348C"/>
    <w:rsid w:val="00A15A28"/>
    <w:rsid w:val="00A21A07"/>
    <w:rsid w:val="00A26C2B"/>
    <w:rsid w:val="00A3508F"/>
    <w:rsid w:val="00A353E1"/>
    <w:rsid w:val="00A410C1"/>
    <w:rsid w:val="00A4139F"/>
    <w:rsid w:val="00A432C4"/>
    <w:rsid w:val="00A44B06"/>
    <w:rsid w:val="00A5524D"/>
    <w:rsid w:val="00A60B7E"/>
    <w:rsid w:val="00A64B24"/>
    <w:rsid w:val="00A659F8"/>
    <w:rsid w:val="00A66E29"/>
    <w:rsid w:val="00A71564"/>
    <w:rsid w:val="00A8204E"/>
    <w:rsid w:val="00A9664C"/>
    <w:rsid w:val="00AB72DC"/>
    <w:rsid w:val="00AB7653"/>
    <w:rsid w:val="00AC41A4"/>
    <w:rsid w:val="00AD0B00"/>
    <w:rsid w:val="00AD4D7C"/>
    <w:rsid w:val="00AE2E50"/>
    <w:rsid w:val="00AE5258"/>
    <w:rsid w:val="00AF2AE7"/>
    <w:rsid w:val="00AF3455"/>
    <w:rsid w:val="00B00564"/>
    <w:rsid w:val="00B04D54"/>
    <w:rsid w:val="00B15325"/>
    <w:rsid w:val="00B16A6F"/>
    <w:rsid w:val="00B23DA8"/>
    <w:rsid w:val="00B252E6"/>
    <w:rsid w:val="00B33841"/>
    <w:rsid w:val="00B3484A"/>
    <w:rsid w:val="00B37735"/>
    <w:rsid w:val="00B63087"/>
    <w:rsid w:val="00B9709F"/>
    <w:rsid w:val="00BA2316"/>
    <w:rsid w:val="00BC057B"/>
    <w:rsid w:val="00BC1818"/>
    <w:rsid w:val="00BC3C99"/>
    <w:rsid w:val="00BC408F"/>
    <w:rsid w:val="00BE131A"/>
    <w:rsid w:val="00BE21CD"/>
    <w:rsid w:val="00BE35BC"/>
    <w:rsid w:val="00BE5AA7"/>
    <w:rsid w:val="00C0472F"/>
    <w:rsid w:val="00C055A5"/>
    <w:rsid w:val="00C05ABA"/>
    <w:rsid w:val="00C23D47"/>
    <w:rsid w:val="00C40ADA"/>
    <w:rsid w:val="00C40D9A"/>
    <w:rsid w:val="00C5016D"/>
    <w:rsid w:val="00C57670"/>
    <w:rsid w:val="00C60242"/>
    <w:rsid w:val="00C60594"/>
    <w:rsid w:val="00C642C8"/>
    <w:rsid w:val="00C728EF"/>
    <w:rsid w:val="00C730CA"/>
    <w:rsid w:val="00C7473C"/>
    <w:rsid w:val="00C75000"/>
    <w:rsid w:val="00C75C5F"/>
    <w:rsid w:val="00C77299"/>
    <w:rsid w:val="00C84D21"/>
    <w:rsid w:val="00CA09C2"/>
    <w:rsid w:val="00CA33CD"/>
    <w:rsid w:val="00CA36C8"/>
    <w:rsid w:val="00CB252F"/>
    <w:rsid w:val="00CC2729"/>
    <w:rsid w:val="00CC39CB"/>
    <w:rsid w:val="00CC6918"/>
    <w:rsid w:val="00CD5486"/>
    <w:rsid w:val="00CE00F7"/>
    <w:rsid w:val="00CE76E4"/>
    <w:rsid w:val="00CF057A"/>
    <w:rsid w:val="00D05AFD"/>
    <w:rsid w:val="00D23F20"/>
    <w:rsid w:val="00D26288"/>
    <w:rsid w:val="00D50043"/>
    <w:rsid w:val="00D5484B"/>
    <w:rsid w:val="00D70DF8"/>
    <w:rsid w:val="00DA6A6B"/>
    <w:rsid w:val="00DD121E"/>
    <w:rsid w:val="00DE13E3"/>
    <w:rsid w:val="00DE29F3"/>
    <w:rsid w:val="00DE30B0"/>
    <w:rsid w:val="00DF3A9B"/>
    <w:rsid w:val="00DF442D"/>
    <w:rsid w:val="00E15D52"/>
    <w:rsid w:val="00E32F74"/>
    <w:rsid w:val="00E412C6"/>
    <w:rsid w:val="00E55D74"/>
    <w:rsid w:val="00E56609"/>
    <w:rsid w:val="00E61B38"/>
    <w:rsid w:val="00E85716"/>
    <w:rsid w:val="00EA168C"/>
    <w:rsid w:val="00EA6ECF"/>
    <w:rsid w:val="00EA6F60"/>
    <w:rsid w:val="00ED5C61"/>
    <w:rsid w:val="00ED6B45"/>
    <w:rsid w:val="00EE322F"/>
    <w:rsid w:val="00EE49F5"/>
    <w:rsid w:val="00EE6004"/>
    <w:rsid w:val="00EF072F"/>
    <w:rsid w:val="00EF4701"/>
    <w:rsid w:val="00F0107B"/>
    <w:rsid w:val="00F01BAF"/>
    <w:rsid w:val="00F11783"/>
    <w:rsid w:val="00F21525"/>
    <w:rsid w:val="00F35CD8"/>
    <w:rsid w:val="00F433C0"/>
    <w:rsid w:val="00F45EC3"/>
    <w:rsid w:val="00F5341B"/>
    <w:rsid w:val="00F552F1"/>
    <w:rsid w:val="00F733FD"/>
    <w:rsid w:val="00F77D24"/>
    <w:rsid w:val="00F83F08"/>
    <w:rsid w:val="00F840E7"/>
    <w:rsid w:val="00F90FDB"/>
    <w:rsid w:val="00FA1276"/>
    <w:rsid w:val="00FA4FD7"/>
    <w:rsid w:val="00FB3F69"/>
    <w:rsid w:val="29C62A0B"/>
    <w:rsid w:val="37777659"/>
    <w:rsid w:val="45C03FF6"/>
    <w:rsid w:val="46D65CDB"/>
    <w:rsid w:val="79DC7DE7"/>
    <w:rsid w:val="FAF2AA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ocked="1"/>
    <w:lsdException w:qFormat="1" w:unhideWhenUsed="0" w:uiPriority="99" w:name="footer"/>
    <w:lsdException w:uiPriority="99" w:name="index heading" w:locked="1"/>
    <w:lsdException w:qFormat="1" w:unhideWhenUsed="0" w:uiPriority="99" w:semiHidden="0"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4"/>
    <w:qFormat/>
    <w:uiPriority w:val="99"/>
    <w:pPr>
      <w:spacing w:before="100" w:beforeAutospacing="1" w:after="100" w:afterAutospacing="1"/>
      <w:jc w:val="left"/>
      <w:outlineLvl w:val="1"/>
    </w:pPr>
    <w:rPr>
      <w:rFonts w:ascii="宋体" w:hAnsi="宋体" w:cs="Times New Roman"/>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locked/>
    <w:uiPriority w:val="99"/>
    <w:rPr>
      <w:rFonts w:ascii="Cambria" w:hAnsi="Cambria" w:eastAsia="黑体" w:cs="Times New Roman"/>
      <w:sz w:val="20"/>
    </w:rPr>
  </w:style>
  <w:style w:type="paragraph" w:styleId="4">
    <w:name w:val="Body Text"/>
    <w:basedOn w:val="1"/>
    <w:link w:val="22"/>
    <w:semiHidden/>
    <w:qFormat/>
    <w:locked/>
    <w:uiPriority w:val="99"/>
    <w:pPr>
      <w:spacing w:after="120"/>
    </w:pPr>
    <w:rPr>
      <w:rFonts w:ascii="Times New Roman" w:hAnsi="Times New Roman" w:cs="Times New Roman"/>
      <w:szCs w:val="24"/>
    </w:rPr>
  </w:style>
  <w:style w:type="paragraph" w:styleId="5">
    <w:name w:val="footer"/>
    <w:basedOn w:val="1"/>
    <w:link w:val="15"/>
    <w:semiHidden/>
    <w:qFormat/>
    <w:uiPriority w:val="99"/>
    <w:pPr>
      <w:tabs>
        <w:tab w:val="center" w:pos="4153"/>
        <w:tab w:val="right" w:pos="8306"/>
      </w:tabs>
      <w:snapToGrid w:val="0"/>
      <w:jc w:val="left"/>
    </w:pPr>
    <w:rPr>
      <w:sz w:val="18"/>
      <w:szCs w:val="18"/>
    </w:rPr>
  </w:style>
  <w:style w:type="paragraph" w:styleId="6">
    <w:name w:val="header"/>
    <w:basedOn w:val="1"/>
    <w:link w:val="16"/>
    <w:qFormat/>
    <w:lock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szCs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99"/>
    <w:rPr>
      <w:rFonts w:cs="Times New Roman"/>
      <w:b/>
    </w:rPr>
  </w:style>
  <w:style w:type="character" w:styleId="12">
    <w:name w:val="page number"/>
    <w:basedOn w:val="10"/>
    <w:qFormat/>
    <w:locked/>
    <w:uiPriority w:val="99"/>
    <w:rPr>
      <w:rFonts w:cs="Times New Roman"/>
    </w:rPr>
  </w:style>
  <w:style w:type="character" w:styleId="13">
    <w:name w:val="Hyperlink"/>
    <w:basedOn w:val="10"/>
    <w:qFormat/>
    <w:locked/>
    <w:uiPriority w:val="99"/>
    <w:rPr>
      <w:rFonts w:cs="Times New Roman"/>
      <w:color w:val="0000FF"/>
      <w:u w:val="single"/>
    </w:rPr>
  </w:style>
  <w:style w:type="character" w:customStyle="1" w:styleId="14">
    <w:name w:val="标题 2 Char"/>
    <w:basedOn w:val="10"/>
    <w:link w:val="2"/>
    <w:semiHidden/>
    <w:qFormat/>
    <w:locked/>
    <w:uiPriority w:val="99"/>
    <w:rPr>
      <w:rFonts w:ascii="Cambria" w:hAnsi="Cambria" w:eastAsia="宋体" w:cs="Times New Roman"/>
      <w:b/>
      <w:bCs/>
      <w:sz w:val="32"/>
      <w:szCs w:val="32"/>
    </w:rPr>
  </w:style>
  <w:style w:type="character" w:customStyle="1" w:styleId="15">
    <w:name w:val="页脚 Char"/>
    <w:basedOn w:val="10"/>
    <w:link w:val="5"/>
    <w:semiHidden/>
    <w:qFormat/>
    <w:locked/>
    <w:uiPriority w:val="99"/>
    <w:rPr>
      <w:rFonts w:ascii="Calibri" w:hAnsi="Calibri" w:cs="Calibri"/>
      <w:sz w:val="18"/>
      <w:szCs w:val="18"/>
    </w:rPr>
  </w:style>
  <w:style w:type="character" w:customStyle="1" w:styleId="16">
    <w:name w:val="页眉 Char"/>
    <w:basedOn w:val="10"/>
    <w:link w:val="6"/>
    <w:semiHidden/>
    <w:qFormat/>
    <w:locked/>
    <w:uiPriority w:val="99"/>
    <w:rPr>
      <w:rFonts w:ascii="Calibri" w:hAnsi="Calibri" w:cs="Calibri"/>
      <w:sz w:val="18"/>
      <w:szCs w:val="18"/>
    </w:rPr>
  </w:style>
  <w:style w:type="character" w:customStyle="1" w:styleId="17">
    <w:name w:val="NormalCharacter"/>
    <w:semiHidden/>
    <w:qFormat/>
    <w:uiPriority w:val="99"/>
  </w:style>
  <w:style w:type="paragraph" w:customStyle="1" w:styleId="18">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9">
    <w:name w:val="Body Text First Indent 21"/>
    <w:basedOn w:val="1"/>
    <w:qFormat/>
    <w:uiPriority w:val="99"/>
    <w:pPr>
      <w:spacing w:line="500" w:lineRule="exact"/>
      <w:ind w:firstLine="420" w:firstLineChars="200"/>
    </w:pPr>
    <w:rPr>
      <w:rFonts w:ascii="Times New Roman" w:hAnsi="Times New Roman" w:cs="Times New Roman"/>
      <w:sz w:val="32"/>
      <w:szCs w:val="24"/>
    </w:rPr>
  </w:style>
  <w:style w:type="paragraph" w:customStyle="1" w:styleId="20">
    <w:name w:val="列出段落1"/>
    <w:basedOn w:val="1"/>
    <w:qFormat/>
    <w:uiPriority w:val="99"/>
    <w:pPr>
      <w:ind w:firstLine="420" w:firstLineChars="200"/>
    </w:pPr>
    <w:rPr>
      <w:rFonts w:ascii="Times New Roman" w:hAnsi="Times New Roman" w:cs="Times New Roman"/>
      <w:sz w:val="32"/>
      <w:szCs w:val="24"/>
    </w:rPr>
  </w:style>
  <w:style w:type="paragraph" w:customStyle="1" w:styleId="21">
    <w:name w:val="正文 New"/>
    <w:qFormat/>
    <w:uiPriority w:val="99"/>
    <w:pPr>
      <w:widowControl w:val="0"/>
      <w:jc w:val="both"/>
    </w:pPr>
    <w:rPr>
      <w:rFonts w:ascii="Times New Roman" w:hAnsi="Times New Roman" w:eastAsia="仿宋_GB2312" w:cs="Times New Roman"/>
      <w:kern w:val="2"/>
      <w:sz w:val="32"/>
      <w:lang w:val="en-US" w:eastAsia="zh-CN" w:bidi="ar-SA"/>
    </w:rPr>
  </w:style>
  <w:style w:type="character" w:customStyle="1" w:styleId="22">
    <w:name w:val="正文文本 Char"/>
    <w:basedOn w:val="10"/>
    <w:link w:val="4"/>
    <w:semiHidden/>
    <w:qFormat/>
    <w:locked/>
    <w:uiPriority w:val="99"/>
    <w:rPr>
      <w:rFonts w:cs="Times New Roman"/>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810</Words>
  <Characters>4622</Characters>
  <Lines>38</Lines>
  <Paragraphs>10</Paragraphs>
  <TotalTime>197</TotalTime>
  <ScaleCrop>false</ScaleCrop>
  <LinksUpToDate>false</LinksUpToDate>
  <CharactersWithSpaces>5422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2020-11-06T10:50:00Z</dcterms:created>
  <dc:creator>于喜魁</dc:creator>
  <cp:lastModifiedBy>user</cp:lastModifiedBy>
  <cp:lastPrinted>2021-08-29T13:16:00Z</cp:lastPrinted>
  <dcterms:modified xsi:type="dcterms:W3CDTF">2021-09-02T10:28:08Z</dcterms:modified>
  <dc:title>关于密切全市各级人大工作联系</dc:title>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