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52"/>
          <w:szCs w:val="52"/>
          <w:lang w:val="en-US" w:eastAsia="zh-CN" w:bidi="ar-SA"/>
        </w:rPr>
      </w:pPr>
      <w:r>
        <w:rPr>
          <w:rStyle w:val="6"/>
          <w:rFonts w:ascii="宋体" w:hAnsi="宋体"/>
          <w:b/>
          <w:i w:val="0"/>
          <w:caps w:val="0"/>
          <w:spacing w:val="0"/>
          <w:w w:val="100"/>
          <w:kern w:val="2"/>
          <w:sz w:val="52"/>
          <w:szCs w:val="52"/>
          <w:lang w:val="en-US" w:eastAsia="zh-CN" w:bidi="ar-SA"/>
        </w:rPr>
        <w:t>盘锦市大洼区国有资产监督管理局2018年度部门决算</w:t>
      </w: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lang w:val="en-US" w:eastAsia="zh-CN" w:bidi="ar-SA"/>
        </w:rPr>
      </w:pPr>
      <w:r>
        <w:rPr>
          <w:rStyle w:val="6"/>
          <w:rFonts w:ascii="Times New Roman" w:hAnsi="Times New Roman" w:eastAsia="宋体"/>
          <w:b/>
          <w:i w:val="0"/>
          <w:caps w:val="0"/>
          <w:spacing w:val="0"/>
          <w:w w:val="100"/>
          <w:kern w:val="2"/>
          <w:sz w:val="44"/>
          <w:szCs w:val="44"/>
          <w:lang w:val="en-US" w:eastAsia="zh-CN" w:bidi="ar-SA"/>
        </w:rPr>
        <w:t>目    录</w:t>
      </w:r>
    </w:p>
    <w:p>
      <w:pPr>
        <w:snapToGrid/>
        <w:spacing w:before="0" w:beforeAutospacing="0" w:after="0" w:afterAutospacing="0" w:line="540" w:lineRule="exact"/>
        <w:jc w:val="both"/>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both"/>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第一部分    盘锦市大洼区国有资产监督管理局概况</w:t>
      </w:r>
    </w:p>
    <w:p>
      <w:pPr>
        <w:numPr>
          <w:ilvl w:val="0"/>
          <w:numId w:val="1"/>
        </w:numPr>
        <w:snapToGrid/>
        <w:spacing w:before="0" w:beforeAutospacing="0" w:after="0" w:afterAutospacing="0" w:line="540" w:lineRule="exact"/>
        <w:ind w:left="720" w:hanging="72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主要职责</w:t>
      </w:r>
      <w:r>
        <w:rPr>
          <w:rStyle w:val="6"/>
          <w:rFonts w:hint="eastAsia" w:ascii="仿宋" w:hAnsi="仿宋" w:eastAsia="仿宋"/>
          <w:b w:val="0"/>
          <w:i w:val="0"/>
          <w:caps w:val="0"/>
          <w:spacing w:val="0"/>
          <w:w w:val="100"/>
          <w:kern w:val="2"/>
          <w:sz w:val="32"/>
          <w:szCs w:val="32"/>
          <w:lang w:val="en-US" w:eastAsia="zh-CN" w:bidi="ar-SA"/>
        </w:rPr>
        <w:t>及内设机构</w:t>
      </w:r>
      <w:bookmarkStart w:id="0" w:name="_GoBack"/>
      <w:bookmarkEnd w:id="0"/>
    </w:p>
    <w:p>
      <w:pPr>
        <w:numPr>
          <w:ilvl w:val="0"/>
          <w:numId w:val="1"/>
        </w:numPr>
        <w:snapToGrid/>
        <w:spacing w:before="0" w:beforeAutospacing="0" w:after="0" w:afterAutospacing="0" w:line="540" w:lineRule="exact"/>
        <w:ind w:left="720" w:hanging="72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部门决算单位构成</w:t>
      </w:r>
    </w:p>
    <w:p>
      <w:pPr>
        <w:snapToGrid/>
        <w:spacing w:before="0" w:beforeAutospacing="0" w:after="0" w:afterAutospacing="0" w:line="540" w:lineRule="exact"/>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第二部分    盘锦市大洼区国有资产监督管理局2018年度部门决算报表</w:t>
      </w:r>
    </w:p>
    <w:p>
      <w:pPr>
        <w:snapToGrid/>
        <w:spacing w:before="0" w:beforeAutospacing="0" w:after="0" w:afterAutospacing="0" w:line="540" w:lineRule="exact"/>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一、2018年度收入支出决算总表</w:t>
      </w:r>
    </w:p>
    <w:p>
      <w:pPr>
        <w:snapToGrid/>
        <w:spacing w:before="0" w:beforeAutospacing="0" w:after="0" w:afterAutospacing="0" w:line="540" w:lineRule="exact"/>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二、2018年度收入决算表</w:t>
      </w:r>
    </w:p>
    <w:p>
      <w:pPr>
        <w:snapToGrid/>
        <w:spacing w:before="0" w:beforeAutospacing="0" w:after="0" w:afterAutospacing="0" w:line="540" w:lineRule="exact"/>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三、2018年度支出决算表</w:t>
      </w:r>
    </w:p>
    <w:p>
      <w:pPr>
        <w:snapToGrid/>
        <w:spacing w:before="0" w:beforeAutospacing="0" w:after="0" w:afterAutospacing="0" w:line="540" w:lineRule="exact"/>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四、2018年度财政拨款收入支出决算表</w:t>
      </w:r>
    </w:p>
    <w:p>
      <w:pPr>
        <w:snapToGrid/>
        <w:spacing w:before="0" w:beforeAutospacing="0" w:after="0" w:afterAutospacing="0" w:line="540" w:lineRule="exact"/>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五、2018年度一般公共预算财政拨款收入支出决算表</w:t>
      </w:r>
    </w:p>
    <w:p>
      <w:pPr>
        <w:snapToGrid/>
        <w:spacing w:before="0" w:beforeAutospacing="0" w:after="0" w:afterAutospacing="0" w:line="540" w:lineRule="exact"/>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六、2018年度一般公共预算财政拨款基本支出决算表</w:t>
      </w:r>
    </w:p>
    <w:p>
      <w:pPr>
        <w:snapToGrid/>
        <w:spacing w:before="0" w:beforeAutospacing="0" w:after="0" w:afterAutospacing="0" w:line="540" w:lineRule="exact"/>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七、2018年度政府性基金预算财政拨款收入支出决算表</w:t>
      </w:r>
    </w:p>
    <w:p>
      <w:pPr>
        <w:snapToGrid/>
        <w:spacing w:before="0" w:beforeAutospacing="0" w:after="0" w:afterAutospacing="0" w:line="540" w:lineRule="exact"/>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八、2018年度财政专户管理资金收入支出决算表</w:t>
      </w:r>
    </w:p>
    <w:p>
      <w:pPr>
        <w:snapToGrid/>
        <w:spacing w:before="0" w:beforeAutospacing="0" w:after="0" w:afterAutospacing="0" w:line="540" w:lineRule="exact"/>
        <w:ind w:left="640" w:hanging="64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九、2018年度一般公共预算财政拨款“三公”经费支出决算表</w:t>
      </w:r>
    </w:p>
    <w:p>
      <w:pPr>
        <w:snapToGrid/>
        <w:spacing w:before="0" w:beforeAutospacing="0" w:after="0" w:afterAutospacing="0" w:line="540" w:lineRule="exact"/>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第三部分    盘锦市大洼区国有资产监督管理局2018年度部门决算情况说明</w:t>
      </w:r>
    </w:p>
    <w:p>
      <w:pPr>
        <w:snapToGrid/>
        <w:spacing w:before="0" w:beforeAutospacing="0" w:after="0" w:afterAutospacing="0" w:line="540" w:lineRule="exact"/>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第四部分    名词解释</w:t>
      </w:r>
    </w:p>
    <w:p>
      <w:pPr>
        <w:snapToGrid/>
        <w:spacing w:before="0" w:beforeAutospacing="0" w:after="0" w:afterAutospacing="0" w:line="540" w:lineRule="exact"/>
        <w:jc w:val="center"/>
        <w:textAlignment w:val="baseline"/>
        <w:rPr>
          <w:rStyle w:val="6"/>
          <w:rFonts w:ascii="黑体" w:hAnsi="黑体" w:eastAsia="黑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Times New Roman" w:hAnsi="Times New Roman" w:eastAsia="宋体"/>
          <w:b/>
          <w:i w:val="0"/>
          <w:caps w:val="0"/>
          <w:spacing w:val="0"/>
          <w:w w:val="100"/>
          <w:kern w:val="2"/>
          <w:sz w:val="44"/>
          <w:szCs w:val="44"/>
          <w:u w:val="single"/>
          <w:lang w:val="en-US" w:eastAsia="zh-CN" w:bidi="ar-SA"/>
        </w:rPr>
      </w:pPr>
    </w:p>
    <w:p>
      <w:pPr>
        <w:snapToGrid/>
        <w:spacing w:before="0" w:beforeAutospacing="0" w:after="0" w:afterAutospacing="0" w:line="540" w:lineRule="exact"/>
        <w:jc w:val="center"/>
        <w:textAlignment w:val="baseline"/>
        <w:rPr>
          <w:rStyle w:val="6"/>
          <w:rFonts w:ascii="黑体" w:eastAsia="黑体"/>
          <w:b w:val="0"/>
          <w:i w:val="0"/>
          <w:caps w:val="0"/>
          <w:spacing w:val="0"/>
          <w:w w:val="100"/>
          <w:kern w:val="2"/>
          <w:sz w:val="32"/>
          <w:szCs w:val="32"/>
          <w:lang w:val="en-US" w:eastAsia="zh-CN" w:bidi="ar-SA"/>
        </w:rPr>
      </w:pP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r>
        <w:rPr>
          <w:rStyle w:val="6"/>
          <w:rFonts w:ascii="宋体" w:hAnsi="宋体"/>
          <w:b/>
          <w:i w:val="0"/>
          <w:caps w:val="0"/>
          <w:spacing w:val="0"/>
          <w:w w:val="100"/>
          <w:kern w:val="2"/>
          <w:sz w:val="36"/>
          <w:szCs w:val="36"/>
          <w:lang w:val="en-US" w:eastAsia="zh-CN" w:bidi="ar-SA"/>
        </w:rPr>
        <w:t>第一部分 盘锦市大洼区国有资产监督管理局概况</w:t>
      </w:r>
    </w:p>
    <w:p>
      <w:pPr>
        <w:snapToGrid/>
        <w:spacing w:before="0" w:beforeAutospacing="0" w:after="0" w:afterAutospacing="0" w:line="540" w:lineRule="exact"/>
        <w:ind w:firstLine="640" w:firstLineChars="200"/>
        <w:jc w:val="left"/>
        <w:textAlignment w:val="baseline"/>
        <w:rPr>
          <w:rStyle w:val="6"/>
          <w:rFonts w:ascii="黑体" w:eastAsia="黑体"/>
          <w:b w:val="0"/>
          <w:i w:val="0"/>
          <w:caps w:val="0"/>
          <w:spacing w:val="0"/>
          <w:w w:val="100"/>
          <w:kern w:val="2"/>
          <w:sz w:val="32"/>
          <w:szCs w:val="32"/>
          <w:lang w:val="en-US" w:eastAsia="zh-CN" w:bidi="ar-SA"/>
        </w:rPr>
      </w:pPr>
    </w:p>
    <w:p>
      <w:pPr>
        <w:snapToGrid/>
        <w:spacing w:before="0" w:beforeAutospacing="0" w:after="0" w:afterAutospacing="0" w:line="540" w:lineRule="exact"/>
        <w:ind w:firstLine="643" w:firstLineChars="200"/>
        <w:jc w:val="left"/>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一、主要职责</w:t>
      </w:r>
    </w:p>
    <w:p>
      <w:pPr>
        <w:snapToGrid/>
        <w:spacing w:before="0" w:beforeAutospacing="0" w:after="0" w:afterAutospacing="0" w:line="600" w:lineRule="exact"/>
        <w:ind w:firstLine="640" w:firstLineChars="200"/>
        <w:jc w:val="both"/>
        <w:textAlignment w:val="baseline"/>
        <w:rPr>
          <w:rStyle w:val="6"/>
          <w:rFonts w:eastAsia="仿宋_GB2312"/>
          <w:b w:val="0"/>
          <w:i w:val="0"/>
          <w:caps w:val="0"/>
          <w:spacing w:val="0"/>
          <w:w w:val="100"/>
          <w:kern w:val="2"/>
          <w:sz w:val="32"/>
          <w:szCs w:val="32"/>
          <w:lang w:val="en-US" w:eastAsia="zh-CN" w:bidi="ar-SA"/>
        </w:rPr>
      </w:pPr>
      <w:r>
        <w:rPr>
          <w:rStyle w:val="6"/>
          <w:rFonts w:eastAsia="仿宋_GB2312"/>
          <w:b w:val="0"/>
          <w:i w:val="0"/>
          <w:caps w:val="0"/>
          <w:spacing w:val="0"/>
          <w:w w:val="100"/>
          <w:kern w:val="2"/>
          <w:sz w:val="32"/>
          <w:szCs w:val="32"/>
          <w:lang w:val="en-US" w:eastAsia="zh-CN" w:bidi="ar-SA"/>
        </w:rPr>
        <w:t>（一）贯彻执行国家和省、市有关国有资产管理及金融工作的方针政策和法律法规，起草国有资产监督管理和促进金融业发展的规范性文件和区政府规章草案；制定国有资产监督管理和推动金融业发展的有关政策和规章制度并监督执行；落实区政府有关国资管理和金融工作的决议、决定；依法对区（经济区）国有资产管理、国有资本运作和金融工作进行指导和监督。</w:t>
      </w:r>
    </w:p>
    <w:p>
      <w:pPr>
        <w:snapToGrid/>
        <w:spacing w:before="0" w:beforeAutospacing="0" w:after="0" w:afterAutospacing="0" w:line="600" w:lineRule="exact"/>
        <w:ind w:firstLine="640" w:firstLineChars="200"/>
        <w:jc w:val="both"/>
        <w:textAlignment w:val="baseline"/>
        <w:rPr>
          <w:rStyle w:val="6"/>
          <w:rFonts w:eastAsia="仿宋_GB2312"/>
          <w:b w:val="0"/>
          <w:i w:val="0"/>
          <w:caps w:val="0"/>
          <w:spacing w:val="0"/>
          <w:w w:val="100"/>
          <w:kern w:val="2"/>
          <w:sz w:val="32"/>
          <w:szCs w:val="32"/>
          <w:lang w:val="en-US" w:eastAsia="zh-CN" w:bidi="ar-SA"/>
        </w:rPr>
      </w:pPr>
      <w:r>
        <w:rPr>
          <w:rStyle w:val="6"/>
          <w:rFonts w:eastAsia="仿宋_GB2312"/>
          <w:b w:val="0"/>
          <w:i w:val="0"/>
          <w:caps w:val="0"/>
          <w:spacing w:val="0"/>
          <w:w w:val="100"/>
          <w:kern w:val="2"/>
          <w:sz w:val="32"/>
          <w:szCs w:val="32"/>
          <w:lang w:val="en-US" w:eastAsia="zh-CN" w:bidi="ar-SA"/>
        </w:rPr>
        <w:t>（二）根据区政府的授权，依照《中华人民共和国公司法》等法律和行政法规履行出资人职责；负责全区企业国有资产基础管理；监管区属企业的国有资产，加强国有资产、资本的管理与运作。</w:t>
      </w:r>
    </w:p>
    <w:p>
      <w:pPr>
        <w:snapToGrid/>
        <w:spacing w:before="0" w:beforeAutospacing="0" w:after="0" w:afterAutospacing="0" w:line="600" w:lineRule="exact"/>
        <w:ind w:firstLine="640" w:firstLineChars="200"/>
        <w:jc w:val="both"/>
        <w:textAlignment w:val="baseline"/>
        <w:rPr>
          <w:rStyle w:val="6"/>
          <w:rFonts w:eastAsia="仿宋_GB2312"/>
          <w:b w:val="0"/>
          <w:i w:val="0"/>
          <w:caps w:val="0"/>
          <w:spacing w:val="0"/>
          <w:w w:val="100"/>
          <w:kern w:val="2"/>
          <w:sz w:val="32"/>
          <w:szCs w:val="32"/>
          <w:lang w:val="en-US" w:eastAsia="zh-CN" w:bidi="ar-SA"/>
        </w:rPr>
      </w:pPr>
      <w:r>
        <w:rPr>
          <w:rStyle w:val="6"/>
          <w:rFonts w:eastAsia="仿宋_GB2312"/>
          <w:b w:val="0"/>
          <w:i w:val="0"/>
          <w:caps w:val="0"/>
          <w:spacing w:val="0"/>
          <w:w w:val="100"/>
          <w:kern w:val="2"/>
          <w:sz w:val="32"/>
          <w:szCs w:val="32"/>
          <w:lang w:val="en-US" w:eastAsia="zh-CN" w:bidi="ar-SA"/>
        </w:rPr>
        <w:t>（三）承担监督所监管企业国有资产保值增值的责任，指导和监督出资企业开展资本运作和市场化运营，放大国有资本功能；探索国有资源、资产高效利用途径，提升国有资本使用效益；建立和完善国有资产保值增值指标体系，拟订考核标准、完善考评机制；负责所监管企业工资分配管理工作，制定所监管企业负责人收入分配政策并组织实施。</w:t>
      </w:r>
    </w:p>
    <w:p>
      <w:pPr>
        <w:snapToGrid/>
        <w:spacing w:before="0" w:beforeAutospacing="0" w:after="0" w:afterAutospacing="0" w:line="600" w:lineRule="exact"/>
        <w:ind w:firstLine="640" w:firstLineChars="200"/>
        <w:jc w:val="both"/>
        <w:textAlignment w:val="baseline"/>
        <w:rPr>
          <w:rStyle w:val="6"/>
          <w:rFonts w:eastAsia="仿宋_GB2312"/>
          <w:b w:val="0"/>
          <w:i w:val="0"/>
          <w:caps w:val="0"/>
          <w:spacing w:val="0"/>
          <w:w w:val="100"/>
          <w:kern w:val="2"/>
          <w:sz w:val="32"/>
          <w:szCs w:val="32"/>
          <w:lang w:val="en-US" w:eastAsia="zh-CN" w:bidi="ar-SA"/>
        </w:rPr>
      </w:pPr>
      <w:r>
        <w:rPr>
          <w:rStyle w:val="6"/>
          <w:rFonts w:eastAsia="仿宋_GB2312"/>
          <w:b w:val="0"/>
          <w:i w:val="0"/>
          <w:caps w:val="0"/>
          <w:spacing w:val="0"/>
          <w:w w:val="100"/>
          <w:kern w:val="2"/>
          <w:sz w:val="32"/>
          <w:szCs w:val="32"/>
          <w:lang w:val="en-US" w:eastAsia="zh-CN" w:bidi="ar-SA"/>
        </w:rPr>
        <w:t>（四）负责组织、指导国有企业改革和重组，推进国有企业公司制股份制改革，健全公司法人治理结构，完善现代企业制度；研究全区国有企业改革中的重大问题及有关政策，建立以管资本为主的国资监管体系，推动国有资本布局和结构的战略性调整。</w:t>
      </w:r>
    </w:p>
    <w:p>
      <w:pPr>
        <w:snapToGrid/>
        <w:spacing w:before="0" w:beforeAutospacing="0" w:after="0" w:afterAutospacing="0" w:line="600" w:lineRule="exact"/>
        <w:ind w:firstLine="640" w:firstLineChars="200"/>
        <w:jc w:val="both"/>
        <w:textAlignment w:val="baseline"/>
        <w:rPr>
          <w:rStyle w:val="6"/>
          <w:rFonts w:eastAsia="仿宋_GB2312"/>
          <w:b w:val="0"/>
          <w:i w:val="0"/>
          <w:caps w:val="0"/>
          <w:spacing w:val="0"/>
          <w:w w:val="100"/>
          <w:kern w:val="2"/>
          <w:sz w:val="32"/>
          <w:szCs w:val="32"/>
          <w:lang w:val="en-US" w:eastAsia="zh-CN" w:bidi="ar-SA"/>
        </w:rPr>
      </w:pPr>
      <w:r>
        <w:rPr>
          <w:rStyle w:val="6"/>
          <w:rFonts w:eastAsia="仿宋_GB2312"/>
          <w:b w:val="0"/>
          <w:i w:val="0"/>
          <w:caps w:val="0"/>
          <w:spacing w:val="0"/>
          <w:w w:val="100"/>
          <w:kern w:val="2"/>
          <w:sz w:val="32"/>
          <w:szCs w:val="32"/>
          <w:lang w:val="en-US" w:eastAsia="zh-CN" w:bidi="ar-SA"/>
        </w:rPr>
        <w:t>（五）按照干部管理权限，配合区委组织部门做好区属国有企业领导人员管理工作；负责所监管企业领导班子建设，通过法定程序对所监管企业负责人进行任免、考核并根据其经营业绩进行奖惩；建立符合社会主义市场经济体制和现代企业制度要求的选人、用人机制，完善经营者激励和约束制度。</w:t>
      </w:r>
    </w:p>
    <w:p>
      <w:pPr>
        <w:snapToGrid/>
        <w:spacing w:before="0" w:beforeAutospacing="0" w:after="0" w:afterAutospacing="0" w:line="600" w:lineRule="exact"/>
        <w:ind w:firstLine="640" w:firstLineChars="200"/>
        <w:jc w:val="both"/>
        <w:textAlignment w:val="baseline"/>
        <w:rPr>
          <w:rStyle w:val="6"/>
          <w:rFonts w:eastAsia="仿宋_GB2312"/>
          <w:b w:val="0"/>
          <w:i w:val="0"/>
          <w:caps w:val="0"/>
          <w:spacing w:val="0"/>
          <w:w w:val="100"/>
          <w:kern w:val="2"/>
          <w:sz w:val="32"/>
          <w:szCs w:val="32"/>
          <w:lang w:val="en-US" w:eastAsia="zh-CN" w:bidi="ar-SA"/>
        </w:rPr>
      </w:pPr>
      <w:r>
        <w:rPr>
          <w:rStyle w:val="6"/>
          <w:rFonts w:eastAsia="仿宋_GB2312"/>
          <w:b w:val="0"/>
          <w:i w:val="0"/>
          <w:caps w:val="0"/>
          <w:spacing w:val="0"/>
          <w:w w:val="100"/>
          <w:kern w:val="2"/>
          <w:sz w:val="32"/>
          <w:szCs w:val="32"/>
          <w:lang w:val="en-US" w:eastAsia="zh-CN" w:bidi="ar-SA"/>
        </w:rPr>
        <w:t>（六）按照有关规定，代表区政府向所监管企业派出监事会；审核监事会向区政府提交的监督检查报告；负责监事会的日常管理工作；负责组织所监管企业上交国有资本收益；参与制定本区国有资本经营预算有关管理制度和办法；向有关部门提出所监管企业的国有资本经营预算建议草案；负责推动监管企业董事会规范建设。</w:t>
      </w:r>
    </w:p>
    <w:p>
      <w:pPr>
        <w:snapToGrid/>
        <w:spacing w:before="0" w:beforeAutospacing="0" w:after="0" w:afterAutospacing="0" w:line="600" w:lineRule="exact"/>
        <w:ind w:firstLine="640" w:firstLineChars="200"/>
        <w:jc w:val="both"/>
        <w:textAlignment w:val="baseline"/>
        <w:rPr>
          <w:rStyle w:val="6"/>
          <w:rFonts w:eastAsia="仿宋_GB2312"/>
          <w:b w:val="0"/>
          <w:i w:val="0"/>
          <w:caps w:val="0"/>
          <w:spacing w:val="0"/>
          <w:w w:val="100"/>
          <w:kern w:val="2"/>
          <w:sz w:val="32"/>
          <w:szCs w:val="32"/>
          <w:lang w:val="en-US" w:eastAsia="zh-CN" w:bidi="ar-SA"/>
        </w:rPr>
      </w:pPr>
      <w:r>
        <w:rPr>
          <w:rStyle w:val="6"/>
          <w:rFonts w:eastAsia="仿宋_GB2312"/>
          <w:b w:val="0"/>
          <w:i w:val="0"/>
          <w:caps w:val="0"/>
          <w:spacing w:val="0"/>
          <w:w w:val="100"/>
          <w:kern w:val="2"/>
          <w:sz w:val="32"/>
          <w:szCs w:val="32"/>
          <w:lang w:val="en-US" w:eastAsia="zh-CN" w:bidi="ar-SA"/>
        </w:rPr>
        <w:t>（七）负责区属国有企业党的组织建设、思想建设、精神文明建设和党员教育、管理工作；指导企业加强人才培养、人才队伍建设。</w:t>
      </w:r>
    </w:p>
    <w:p>
      <w:pPr>
        <w:snapToGrid/>
        <w:spacing w:before="0" w:beforeAutospacing="0" w:after="0" w:afterAutospacing="0" w:line="600" w:lineRule="exact"/>
        <w:ind w:firstLine="640" w:firstLineChars="200"/>
        <w:jc w:val="both"/>
        <w:textAlignment w:val="baseline"/>
        <w:rPr>
          <w:rStyle w:val="6"/>
          <w:rFonts w:eastAsia="仿宋_GB2312"/>
          <w:b w:val="0"/>
          <w:i w:val="0"/>
          <w:caps w:val="0"/>
          <w:spacing w:val="0"/>
          <w:w w:val="100"/>
          <w:kern w:val="2"/>
          <w:sz w:val="32"/>
          <w:szCs w:val="32"/>
          <w:lang w:val="en-US" w:eastAsia="zh-CN" w:bidi="ar-SA"/>
        </w:rPr>
      </w:pPr>
      <w:r>
        <w:rPr>
          <w:rStyle w:val="6"/>
          <w:rFonts w:eastAsia="仿宋_GB2312"/>
          <w:b w:val="0"/>
          <w:i w:val="0"/>
          <w:caps w:val="0"/>
          <w:spacing w:val="0"/>
          <w:w w:val="100"/>
          <w:kern w:val="2"/>
          <w:sz w:val="32"/>
          <w:szCs w:val="32"/>
          <w:lang w:val="en-US" w:eastAsia="zh-CN" w:bidi="ar-SA"/>
        </w:rPr>
        <w:t>（八）研究分析宏观金融形势、国家金融政策和全区金融运行情况，拟订全区金融业中长期发展规划；协调促进金融资源优化配置，研究拟订全区促进金融发展和改善金融环境的政策措施，吸引、聚集、发展各类金融资源，加快区域性金融中心建设。</w:t>
      </w:r>
    </w:p>
    <w:p>
      <w:pPr>
        <w:snapToGrid/>
        <w:spacing w:before="0" w:beforeAutospacing="0" w:after="0" w:afterAutospacing="0" w:line="600" w:lineRule="exact"/>
        <w:ind w:firstLine="640" w:firstLineChars="200"/>
        <w:jc w:val="both"/>
        <w:textAlignment w:val="baseline"/>
        <w:rPr>
          <w:rStyle w:val="6"/>
          <w:rFonts w:eastAsia="仿宋_GB2312"/>
          <w:b w:val="0"/>
          <w:i w:val="0"/>
          <w:caps w:val="0"/>
          <w:spacing w:val="0"/>
          <w:w w:val="100"/>
          <w:kern w:val="2"/>
          <w:sz w:val="32"/>
          <w:szCs w:val="32"/>
          <w:lang w:val="en-US" w:eastAsia="zh-CN" w:bidi="ar-SA"/>
        </w:rPr>
      </w:pPr>
      <w:r>
        <w:rPr>
          <w:rStyle w:val="6"/>
          <w:rFonts w:eastAsia="仿宋_GB2312"/>
          <w:b w:val="0"/>
          <w:i w:val="0"/>
          <w:caps w:val="0"/>
          <w:spacing w:val="0"/>
          <w:w w:val="100"/>
          <w:kern w:val="2"/>
          <w:sz w:val="32"/>
          <w:szCs w:val="32"/>
          <w:lang w:val="en-US" w:eastAsia="zh-CN" w:bidi="ar-SA"/>
        </w:rPr>
        <w:t>（九）承担与上级金融管理部门、各类金融机构的沟通协调、信息交流和服务工作；配合上级金融监管部门，依法对全区金融机构进行监管；协调引导金融机构服务地方经济社会发展；负责整顿和规范全区金融秩序，防范、化解、处置各类金融风险，维护金融稳定。</w:t>
      </w:r>
    </w:p>
    <w:p>
      <w:pPr>
        <w:snapToGrid/>
        <w:spacing w:before="0" w:beforeAutospacing="0" w:after="0" w:afterAutospacing="0" w:line="600" w:lineRule="exact"/>
        <w:ind w:firstLine="640" w:firstLineChars="200"/>
        <w:jc w:val="both"/>
        <w:textAlignment w:val="baseline"/>
        <w:rPr>
          <w:rStyle w:val="6"/>
          <w:rFonts w:eastAsia="仿宋_GB2312"/>
          <w:b w:val="0"/>
          <w:i w:val="0"/>
          <w:caps w:val="0"/>
          <w:spacing w:val="0"/>
          <w:w w:val="100"/>
          <w:kern w:val="2"/>
          <w:sz w:val="32"/>
          <w:szCs w:val="32"/>
          <w:lang w:val="en-US" w:eastAsia="zh-CN" w:bidi="ar-SA"/>
        </w:rPr>
      </w:pPr>
      <w:r>
        <w:rPr>
          <w:rStyle w:val="6"/>
          <w:rFonts w:eastAsia="仿宋_GB2312"/>
          <w:b w:val="0"/>
          <w:i w:val="0"/>
          <w:caps w:val="0"/>
          <w:spacing w:val="0"/>
          <w:w w:val="100"/>
          <w:kern w:val="2"/>
          <w:sz w:val="32"/>
          <w:szCs w:val="32"/>
          <w:lang w:val="en-US" w:eastAsia="zh-CN" w:bidi="ar-SA"/>
        </w:rPr>
        <w:t>（十）参与研究拟订政府重大项目融资方案；推动全区金融市场、要素市场建设；指导区商业银行、农村信用社等地方金融机构深化改革；指导全区中小企业融资，促进中小企业信用担保体系建设。</w:t>
      </w:r>
    </w:p>
    <w:p>
      <w:pPr>
        <w:snapToGrid/>
        <w:spacing w:before="0" w:beforeAutospacing="0" w:after="0" w:afterAutospacing="0" w:line="600" w:lineRule="exact"/>
        <w:ind w:firstLine="640" w:firstLineChars="200"/>
        <w:jc w:val="both"/>
        <w:textAlignment w:val="baseline"/>
        <w:rPr>
          <w:rStyle w:val="6"/>
          <w:rFonts w:eastAsia="仿宋_GB2312"/>
          <w:b w:val="0"/>
          <w:i w:val="0"/>
          <w:caps w:val="0"/>
          <w:spacing w:val="0"/>
          <w:w w:val="100"/>
          <w:kern w:val="2"/>
          <w:sz w:val="32"/>
          <w:szCs w:val="32"/>
          <w:lang w:val="en-US" w:eastAsia="zh-CN" w:bidi="ar-SA"/>
        </w:rPr>
      </w:pPr>
      <w:r>
        <w:rPr>
          <w:rStyle w:val="6"/>
          <w:rFonts w:eastAsia="仿宋_GB2312"/>
          <w:b w:val="0"/>
          <w:i w:val="0"/>
          <w:caps w:val="0"/>
          <w:spacing w:val="0"/>
          <w:w w:val="100"/>
          <w:kern w:val="2"/>
          <w:sz w:val="32"/>
          <w:szCs w:val="32"/>
          <w:lang w:val="en-US" w:eastAsia="zh-CN" w:bidi="ar-SA"/>
        </w:rPr>
        <w:t>（十一）研究拟订全区资本市场建设的相关政策、规划和措施并组织实施；负责组织和推进全区非国有企业股权集中登记托管工作；负责组织和推进全区多层次资本市场利用和建设工作。</w:t>
      </w:r>
    </w:p>
    <w:p>
      <w:pPr>
        <w:snapToGrid/>
        <w:spacing w:before="0" w:beforeAutospacing="0" w:after="0" w:afterAutospacing="0" w:line="600" w:lineRule="exact"/>
        <w:ind w:firstLine="640" w:firstLineChars="200"/>
        <w:jc w:val="both"/>
        <w:textAlignment w:val="baseline"/>
        <w:rPr>
          <w:rStyle w:val="6"/>
          <w:rFonts w:eastAsia="仿宋_GB2312"/>
          <w:b w:val="0"/>
          <w:i w:val="0"/>
          <w:caps w:val="0"/>
          <w:spacing w:val="0"/>
          <w:w w:val="100"/>
          <w:kern w:val="2"/>
          <w:sz w:val="32"/>
          <w:szCs w:val="32"/>
          <w:lang w:val="en-US" w:eastAsia="zh-CN" w:bidi="ar-SA"/>
        </w:rPr>
      </w:pPr>
      <w:r>
        <w:rPr>
          <w:rStyle w:val="6"/>
          <w:rFonts w:eastAsia="仿宋_GB2312"/>
          <w:b w:val="0"/>
          <w:i w:val="0"/>
          <w:caps w:val="0"/>
          <w:spacing w:val="0"/>
          <w:w w:val="100"/>
          <w:kern w:val="2"/>
          <w:sz w:val="32"/>
          <w:szCs w:val="32"/>
          <w:lang w:val="en-US" w:eastAsia="zh-CN" w:bidi="ar-SA"/>
        </w:rPr>
        <w:t>（十二）负责全区企业上市工作的统筹规划、组织协调；研究制定推进企业上市的政策措施并组织实施；协调解决企业上市工作和上市公司运行中的重大问题；指导、协调全区上市公司再融资及并购、资产重组等工作；负责拟订区本级企业上市专项扶持资金的使用计划和组织实施；负责出具企业上市相关文件。</w:t>
      </w:r>
    </w:p>
    <w:p>
      <w:pPr>
        <w:snapToGrid/>
        <w:spacing w:before="0" w:beforeAutospacing="0" w:after="0" w:afterAutospacing="0" w:line="600" w:lineRule="exact"/>
        <w:ind w:firstLine="640" w:firstLineChars="200"/>
        <w:jc w:val="both"/>
        <w:textAlignment w:val="baseline"/>
        <w:rPr>
          <w:rStyle w:val="6"/>
          <w:rFonts w:eastAsia="仿宋_GB2312"/>
          <w:b w:val="0"/>
          <w:i w:val="0"/>
          <w:caps w:val="0"/>
          <w:spacing w:val="0"/>
          <w:w w:val="100"/>
          <w:kern w:val="2"/>
          <w:sz w:val="32"/>
          <w:szCs w:val="32"/>
          <w:lang w:val="en-US" w:eastAsia="zh-CN" w:bidi="ar-SA"/>
        </w:rPr>
      </w:pPr>
      <w:r>
        <w:rPr>
          <w:rStyle w:val="6"/>
          <w:rFonts w:eastAsia="仿宋_GB2312"/>
          <w:b w:val="0"/>
          <w:i w:val="0"/>
          <w:caps w:val="0"/>
          <w:spacing w:val="0"/>
          <w:w w:val="100"/>
          <w:kern w:val="2"/>
          <w:sz w:val="32"/>
          <w:szCs w:val="32"/>
          <w:lang w:val="en-US" w:eastAsia="zh-CN" w:bidi="ar-SA"/>
        </w:rPr>
        <w:t>（十三）研究制定全区小额贷款公司监督管理的各项规章、制度、办法等并组织实施；负责全区融资性担保机构和业务的监管工作；研究制定促进全区保险业发展的政策措施并组织实施；负责由地方政府管理的各类新兴金融行业的日常监督和管理。</w:t>
      </w:r>
    </w:p>
    <w:p>
      <w:pPr>
        <w:snapToGrid/>
        <w:spacing w:before="0" w:beforeAutospacing="0" w:after="0" w:afterAutospacing="0" w:line="600" w:lineRule="exact"/>
        <w:ind w:firstLine="640" w:firstLineChars="200"/>
        <w:jc w:val="both"/>
        <w:textAlignment w:val="baseline"/>
        <w:rPr>
          <w:rFonts w:ascii="仿宋_GB2312" w:eastAsia="仿宋_GB2312" w:cs="Times New Roman"/>
          <w:b/>
          <w:i w:val="0"/>
          <w:caps w:val="0"/>
          <w:spacing w:val="0"/>
          <w:w w:val="100"/>
          <w:sz w:val="32"/>
        </w:rPr>
      </w:pPr>
      <w:r>
        <w:rPr>
          <w:rStyle w:val="6"/>
          <w:rFonts w:eastAsia="仿宋_GB2312"/>
          <w:b w:val="0"/>
          <w:i w:val="0"/>
          <w:caps w:val="0"/>
          <w:spacing w:val="0"/>
          <w:w w:val="100"/>
          <w:kern w:val="2"/>
          <w:sz w:val="32"/>
          <w:szCs w:val="32"/>
          <w:lang w:val="en-US" w:eastAsia="zh-CN" w:bidi="ar-SA"/>
        </w:rPr>
        <w:t>（十四）承办区委、区政府交办的其他事项。</w:t>
      </w:r>
    </w:p>
    <w:p>
      <w:pPr>
        <w:snapToGrid/>
        <w:spacing w:before="0" w:beforeAutospacing="0" w:after="0" w:afterAutospacing="0" w:line="600" w:lineRule="exact"/>
        <w:ind w:firstLine="720" w:firstLineChars="200"/>
        <w:jc w:val="both"/>
        <w:textAlignment w:val="baseline"/>
        <w:rPr>
          <w:rStyle w:val="6"/>
          <w:rFonts w:ascii="仿宋_GB2312" w:eastAsia="仿宋_GB2312" w:cs="Times New Roman"/>
          <w:b w:val="0"/>
          <w:bCs/>
          <w:i w:val="0"/>
          <w:caps w:val="0"/>
          <w:spacing w:val="0"/>
          <w:w w:val="100"/>
          <w:kern w:val="2"/>
          <w:sz w:val="32"/>
          <w:szCs w:val="32"/>
          <w:lang w:val="en-US" w:eastAsia="zh-CN" w:bidi="ar-SA"/>
        </w:rPr>
      </w:pPr>
      <w:r>
        <w:rPr>
          <w:rFonts w:ascii="仿宋_GB2312" w:eastAsia="仿宋_GB2312" w:cs="Times New Roman"/>
          <w:b w:val="0"/>
          <w:i w:val="0"/>
          <w:caps w:val="0"/>
          <w:spacing w:val="0"/>
          <w:w w:val="100"/>
          <w:sz w:val="36"/>
        </w:rPr>
        <w:t>盘锦市大洼区政府国有资产监督管理局现有股室３个：综合办公室、产权管理与考核分配办公室、规划发展与企业改革办公室。</w:t>
      </w:r>
    </w:p>
    <w:p>
      <w:pPr>
        <w:snapToGrid/>
        <w:spacing w:before="0" w:beforeAutospacing="0" w:after="0" w:afterAutospacing="0" w:line="540" w:lineRule="exact"/>
        <w:ind w:firstLine="643" w:firstLineChars="200"/>
        <w:jc w:val="left"/>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二、部门决算单位构成</w:t>
      </w:r>
    </w:p>
    <w:p>
      <w:pPr>
        <w:snapToGrid/>
        <w:spacing w:before="0" w:beforeAutospacing="0" w:after="0" w:afterAutospacing="0" w:line="540" w:lineRule="exact"/>
        <w:ind w:firstLine="643" w:firstLineChars="200"/>
        <w:jc w:val="left"/>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2018年部门决算编制范围：</w:t>
      </w:r>
    </w:p>
    <w:p>
      <w:pPr>
        <w:snapToGrid/>
        <w:spacing w:before="0" w:beforeAutospacing="0" w:after="0" w:afterAutospacing="0" w:line="540" w:lineRule="exact"/>
        <w:ind w:firstLine="643" w:firstLineChars="200"/>
        <w:jc w:val="left"/>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盘锦市大洼区国有资产监督管理局</w:t>
      </w:r>
    </w:p>
    <w:p>
      <w:pPr>
        <w:snapToGrid/>
        <w:spacing w:before="0" w:beforeAutospacing="0" w:after="0" w:afterAutospacing="0" w:line="540" w:lineRule="exact"/>
        <w:ind w:firstLine="1084" w:firstLineChars="300"/>
        <w:jc w:val="both"/>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jc w:val="center"/>
        <w:textAlignment w:val="baseline"/>
        <w:rPr>
          <w:rStyle w:val="6"/>
          <w:rFonts w:ascii="仿宋_GB2312" w:eastAsia="仿宋_GB2312"/>
          <w:b w:val="0"/>
          <w:i w:val="0"/>
          <w:caps w:val="0"/>
          <w:spacing w:val="0"/>
          <w:w w:val="100"/>
          <w:kern w:val="2"/>
          <w:sz w:val="32"/>
          <w:szCs w:val="32"/>
          <w:lang w:val="en-US" w:eastAsia="zh-CN" w:bidi="ar-SA"/>
        </w:rPr>
      </w:pPr>
      <w:r>
        <w:rPr>
          <w:rStyle w:val="6"/>
          <w:rFonts w:ascii="宋体" w:hAnsi="宋体"/>
          <w:b/>
          <w:i w:val="0"/>
          <w:caps w:val="0"/>
          <w:spacing w:val="0"/>
          <w:w w:val="100"/>
          <w:kern w:val="2"/>
          <w:sz w:val="36"/>
          <w:szCs w:val="36"/>
          <w:lang w:val="en-US" w:eastAsia="zh-CN" w:bidi="ar-SA"/>
        </w:rPr>
        <w:t>第二部分 盘锦市大洼区国有资产监督管理局2018年度部门决算表</w:t>
      </w:r>
    </w:p>
    <w:p>
      <w:pPr>
        <w:snapToGrid/>
        <w:spacing w:before="0" w:beforeAutospacing="0" w:after="0" w:afterAutospacing="0" w:line="540" w:lineRule="exact"/>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一、2018年度收入支出决算总表</w:t>
      </w:r>
    </w:p>
    <w:p>
      <w:pPr>
        <w:snapToGrid/>
        <w:spacing w:before="0" w:beforeAutospacing="0" w:after="0" w:afterAutospacing="0" w:line="540" w:lineRule="exact"/>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二、2018年度收入决算表</w:t>
      </w:r>
    </w:p>
    <w:p>
      <w:pPr>
        <w:snapToGrid/>
        <w:spacing w:before="0" w:beforeAutospacing="0" w:after="0" w:afterAutospacing="0" w:line="540" w:lineRule="exact"/>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三、2018年度支出决算表</w:t>
      </w:r>
    </w:p>
    <w:p>
      <w:pPr>
        <w:snapToGrid/>
        <w:spacing w:before="0" w:beforeAutospacing="0" w:after="0" w:afterAutospacing="0" w:line="540" w:lineRule="exact"/>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四、2018年度财政拨款收入支出决算表</w:t>
      </w:r>
    </w:p>
    <w:p>
      <w:pPr>
        <w:snapToGrid/>
        <w:spacing w:before="0" w:beforeAutospacing="0" w:after="0" w:afterAutospacing="0" w:line="540" w:lineRule="exact"/>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五、2018年度一般公共预算财政拨款收入支出决算表</w:t>
      </w:r>
    </w:p>
    <w:p>
      <w:pPr>
        <w:snapToGrid/>
        <w:spacing w:before="0" w:beforeAutospacing="0" w:after="0" w:afterAutospacing="0" w:line="540" w:lineRule="exact"/>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六、2018年度一般公共预算财政拨款基本支出决算表</w:t>
      </w:r>
    </w:p>
    <w:p>
      <w:pPr>
        <w:snapToGrid/>
        <w:spacing w:before="0" w:beforeAutospacing="0" w:after="0" w:afterAutospacing="0" w:line="540" w:lineRule="exact"/>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七、2018年度政府性基金预算财政拨款收入支出决算表</w:t>
      </w:r>
    </w:p>
    <w:p>
      <w:pPr>
        <w:snapToGrid/>
        <w:spacing w:before="0" w:beforeAutospacing="0" w:after="0" w:afterAutospacing="0" w:line="540" w:lineRule="exact"/>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八、2018年度财政专户管理资金收入支出决算表</w:t>
      </w:r>
    </w:p>
    <w:p>
      <w:pPr>
        <w:snapToGrid/>
        <w:spacing w:before="0" w:beforeAutospacing="0" w:after="0" w:afterAutospacing="0" w:line="540" w:lineRule="exact"/>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九、2018年度一般公共预算财政拨款“三公”经费支出决算表</w:t>
      </w:r>
    </w:p>
    <w:p>
      <w:pPr>
        <w:snapToGrid/>
        <w:spacing w:before="0" w:beforeAutospacing="0" w:after="0" w:afterAutospacing="0" w:line="540" w:lineRule="exact"/>
        <w:jc w:val="both"/>
        <w:textAlignment w:val="baseline"/>
        <w:rPr>
          <w:rStyle w:val="6"/>
          <w:rFonts w:ascii="仿宋" w:hAnsi="仿宋" w:eastAsia="仿宋"/>
          <w:b/>
          <w:i w:val="0"/>
          <w:caps w:val="0"/>
          <w:spacing w:val="0"/>
          <w:w w:val="100"/>
          <w:kern w:val="2"/>
          <w:sz w:val="32"/>
          <w:szCs w:val="32"/>
          <w:lang w:val="en-US" w:eastAsia="zh-CN" w:bidi="ar-SA"/>
        </w:rPr>
      </w:pPr>
    </w:p>
    <w:p>
      <w:pPr>
        <w:snapToGrid/>
        <w:spacing w:before="0" w:beforeAutospacing="0" w:after="0" w:afterAutospacing="0" w:line="540" w:lineRule="exact"/>
        <w:jc w:val="both"/>
        <w:textAlignment w:val="baseline"/>
        <w:rPr>
          <w:rStyle w:val="6"/>
          <w:rFonts w:ascii="仿宋_GB2312" w:eastAsia="仿宋_GB2312"/>
          <w:b/>
          <w:i w:val="0"/>
          <w:caps w:val="0"/>
          <w:spacing w:val="0"/>
          <w:w w:val="100"/>
          <w:kern w:val="2"/>
          <w:sz w:val="32"/>
          <w:szCs w:val="32"/>
          <w:lang w:val="en-US" w:eastAsia="zh-CN" w:bidi="ar-SA"/>
        </w:rPr>
      </w:pPr>
    </w:p>
    <w:p>
      <w:pPr>
        <w:snapToGrid/>
        <w:spacing w:before="0" w:beforeAutospacing="0" w:after="0" w:afterAutospacing="0" w:line="540" w:lineRule="exact"/>
        <w:jc w:val="both"/>
        <w:textAlignment w:val="baseline"/>
        <w:rPr>
          <w:rStyle w:val="6"/>
          <w:rFonts w:ascii="仿宋_GB2312" w:eastAsia="仿宋_GB2312"/>
          <w:b/>
          <w:i w:val="0"/>
          <w:caps w:val="0"/>
          <w:spacing w:val="0"/>
          <w:w w:val="100"/>
          <w:kern w:val="2"/>
          <w:sz w:val="32"/>
          <w:szCs w:val="32"/>
          <w:lang w:val="en-US" w:eastAsia="zh-CN" w:bidi="ar-SA"/>
        </w:rPr>
      </w:pPr>
    </w:p>
    <w:p>
      <w:pPr>
        <w:snapToGrid/>
        <w:spacing w:before="0" w:beforeAutospacing="0" w:after="0" w:afterAutospacing="0" w:line="540" w:lineRule="exact"/>
        <w:jc w:val="both"/>
        <w:textAlignment w:val="baseline"/>
        <w:rPr>
          <w:rStyle w:val="6"/>
          <w:rFonts w:ascii="黑体" w:eastAsia="黑体"/>
          <w:b w:val="0"/>
          <w:i w:val="0"/>
          <w:caps w:val="0"/>
          <w:spacing w:val="0"/>
          <w:w w:val="100"/>
          <w:kern w:val="2"/>
          <w:sz w:val="32"/>
          <w:szCs w:val="32"/>
          <w:lang w:val="en-US" w:eastAsia="zh-CN" w:bidi="ar-SA"/>
        </w:rPr>
      </w:pPr>
    </w:p>
    <w:p>
      <w:pPr>
        <w:snapToGrid/>
        <w:spacing w:before="0" w:beforeAutospacing="0" w:after="0" w:afterAutospacing="0" w:line="540" w:lineRule="exact"/>
        <w:jc w:val="both"/>
        <w:textAlignment w:val="baseline"/>
        <w:rPr>
          <w:rStyle w:val="6"/>
          <w:rFonts w:ascii="黑体" w:eastAsia="黑体"/>
          <w:b w:val="0"/>
          <w:i w:val="0"/>
          <w:caps w:val="0"/>
          <w:spacing w:val="0"/>
          <w:w w:val="100"/>
          <w:kern w:val="2"/>
          <w:sz w:val="32"/>
          <w:szCs w:val="32"/>
          <w:lang w:val="en-US" w:eastAsia="zh-CN" w:bidi="ar-SA"/>
        </w:rPr>
      </w:pPr>
    </w:p>
    <w:p>
      <w:pPr>
        <w:snapToGrid/>
        <w:spacing w:before="0" w:beforeAutospacing="0" w:after="0" w:afterAutospacing="0" w:line="540" w:lineRule="exact"/>
        <w:jc w:val="both"/>
        <w:textAlignment w:val="baseline"/>
        <w:rPr>
          <w:rStyle w:val="6"/>
          <w:rFonts w:ascii="黑体" w:eastAsia="黑体"/>
          <w:b w:val="0"/>
          <w:i w:val="0"/>
          <w:caps w:val="0"/>
          <w:spacing w:val="0"/>
          <w:w w:val="100"/>
          <w:kern w:val="2"/>
          <w:sz w:val="32"/>
          <w:szCs w:val="32"/>
          <w:lang w:val="en-US" w:eastAsia="zh-CN" w:bidi="ar-SA"/>
        </w:rPr>
      </w:pPr>
    </w:p>
    <w:p>
      <w:pPr>
        <w:snapToGrid/>
        <w:spacing w:before="0" w:beforeAutospacing="0" w:after="0" w:afterAutospacing="0" w:line="540" w:lineRule="exact"/>
        <w:jc w:val="both"/>
        <w:textAlignment w:val="baseline"/>
        <w:rPr>
          <w:rStyle w:val="6"/>
          <w:rFonts w:ascii="黑体" w:eastAsia="黑体"/>
          <w:b w:val="0"/>
          <w:i w:val="0"/>
          <w:caps w:val="0"/>
          <w:spacing w:val="0"/>
          <w:w w:val="100"/>
          <w:kern w:val="2"/>
          <w:sz w:val="36"/>
          <w:szCs w:val="36"/>
          <w:lang w:val="en-US" w:eastAsia="zh-CN" w:bidi="ar-SA"/>
        </w:rPr>
      </w:pPr>
    </w:p>
    <w:p>
      <w:pPr>
        <w:snapToGrid/>
        <w:spacing w:before="0" w:beforeAutospacing="0" w:after="0" w:afterAutospacing="0" w:line="540" w:lineRule="exact"/>
        <w:jc w:val="both"/>
        <w:textAlignment w:val="baseline"/>
        <w:rPr>
          <w:rStyle w:val="6"/>
          <w:rFonts w:ascii="黑体" w:eastAsia="黑体"/>
          <w:b w:val="0"/>
          <w:i w:val="0"/>
          <w:caps w:val="0"/>
          <w:spacing w:val="0"/>
          <w:w w:val="100"/>
          <w:kern w:val="2"/>
          <w:sz w:val="36"/>
          <w:szCs w:val="36"/>
          <w:lang w:val="en-US" w:eastAsia="zh-CN" w:bidi="ar-SA"/>
        </w:rPr>
      </w:pPr>
    </w:p>
    <w:p>
      <w:pPr>
        <w:snapToGrid/>
        <w:spacing w:before="0" w:beforeAutospacing="0" w:after="0" w:afterAutospacing="0" w:line="540" w:lineRule="exact"/>
        <w:jc w:val="both"/>
        <w:textAlignment w:val="baseline"/>
        <w:rPr>
          <w:rStyle w:val="6"/>
          <w:rFonts w:ascii="黑体" w:eastAsia="黑体"/>
          <w:b w:val="0"/>
          <w:i w:val="0"/>
          <w:caps w:val="0"/>
          <w:spacing w:val="0"/>
          <w:w w:val="100"/>
          <w:kern w:val="2"/>
          <w:sz w:val="36"/>
          <w:szCs w:val="36"/>
          <w:lang w:val="en-US" w:eastAsia="zh-CN" w:bidi="ar-SA"/>
        </w:rPr>
      </w:pPr>
    </w:p>
    <w:p>
      <w:pPr>
        <w:snapToGrid/>
        <w:spacing w:before="0" w:beforeAutospacing="0" w:after="0" w:afterAutospacing="0" w:line="540" w:lineRule="exact"/>
        <w:jc w:val="both"/>
        <w:textAlignment w:val="baseline"/>
        <w:rPr>
          <w:rStyle w:val="6"/>
          <w:rFonts w:ascii="黑体" w:eastAsia="黑体"/>
          <w:b w:val="0"/>
          <w:i w:val="0"/>
          <w:caps w:val="0"/>
          <w:spacing w:val="0"/>
          <w:w w:val="100"/>
          <w:kern w:val="2"/>
          <w:sz w:val="36"/>
          <w:szCs w:val="36"/>
          <w:lang w:val="en-US" w:eastAsia="zh-CN" w:bidi="ar-SA"/>
        </w:rPr>
      </w:pPr>
    </w:p>
    <w:p>
      <w:pPr>
        <w:snapToGrid/>
        <w:spacing w:before="0" w:beforeAutospacing="0" w:after="0" w:afterAutospacing="0" w:line="540" w:lineRule="exact"/>
        <w:jc w:val="both"/>
        <w:textAlignment w:val="baseline"/>
        <w:rPr>
          <w:rStyle w:val="6"/>
          <w:rFonts w:ascii="黑体" w:eastAsia="黑体"/>
          <w:b w:val="0"/>
          <w:i w:val="0"/>
          <w:caps w:val="0"/>
          <w:spacing w:val="0"/>
          <w:w w:val="100"/>
          <w:kern w:val="2"/>
          <w:sz w:val="36"/>
          <w:szCs w:val="36"/>
          <w:lang w:val="en-US" w:eastAsia="zh-CN" w:bidi="ar-SA"/>
        </w:rPr>
      </w:pPr>
    </w:p>
    <w:p>
      <w:pPr>
        <w:snapToGrid/>
        <w:spacing w:before="0" w:beforeAutospacing="0" w:after="0" w:afterAutospacing="0" w:line="540" w:lineRule="exact"/>
        <w:jc w:val="both"/>
        <w:textAlignment w:val="baseline"/>
        <w:rPr>
          <w:rStyle w:val="6"/>
          <w:rFonts w:ascii="黑体" w:eastAsia="黑体"/>
          <w:b w:val="0"/>
          <w:i w:val="0"/>
          <w:caps w:val="0"/>
          <w:spacing w:val="0"/>
          <w:w w:val="100"/>
          <w:kern w:val="2"/>
          <w:sz w:val="36"/>
          <w:szCs w:val="36"/>
          <w:lang w:val="en-US" w:eastAsia="zh-CN" w:bidi="ar-SA"/>
        </w:rPr>
      </w:pPr>
    </w:p>
    <w:p>
      <w:pPr>
        <w:snapToGrid/>
        <w:spacing w:before="0" w:beforeAutospacing="0" w:after="0" w:afterAutospacing="0" w:line="540" w:lineRule="exact"/>
        <w:jc w:val="both"/>
        <w:textAlignment w:val="baseline"/>
        <w:rPr>
          <w:rStyle w:val="6"/>
          <w:rFonts w:ascii="黑体" w:eastAsia="黑体"/>
          <w:b w:val="0"/>
          <w:i w:val="0"/>
          <w:caps w:val="0"/>
          <w:spacing w:val="0"/>
          <w:w w:val="100"/>
          <w:kern w:val="2"/>
          <w:sz w:val="36"/>
          <w:szCs w:val="36"/>
          <w:lang w:val="en-US" w:eastAsia="zh-CN" w:bidi="ar-SA"/>
        </w:rPr>
      </w:pPr>
    </w:p>
    <w:p>
      <w:pPr>
        <w:snapToGrid/>
        <w:spacing w:before="0" w:beforeAutospacing="0" w:after="0" w:afterAutospacing="0" w:line="540" w:lineRule="exact"/>
        <w:jc w:val="both"/>
        <w:textAlignment w:val="baseline"/>
        <w:rPr>
          <w:rStyle w:val="6"/>
          <w:rFonts w:ascii="黑体" w:eastAsia="黑体"/>
          <w:b w:val="0"/>
          <w:i w:val="0"/>
          <w:caps w:val="0"/>
          <w:spacing w:val="0"/>
          <w:w w:val="100"/>
          <w:kern w:val="2"/>
          <w:sz w:val="36"/>
          <w:szCs w:val="36"/>
          <w:lang w:val="en-US" w:eastAsia="zh-CN" w:bidi="ar-SA"/>
        </w:rPr>
      </w:pPr>
    </w:p>
    <w:p>
      <w:pPr>
        <w:numPr>
          <w:ilvl w:val="0"/>
          <w:numId w:val="2"/>
        </w:num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r>
        <w:rPr>
          <w:rStyle w:val="6"/>
          <w:rFonts w:ascii="宋体" w:hAnsi="宋体"/>
          <w:b/>
          <w:i w:val="0"/>
          <w:caps w:val="0"/>
          <w:spacing w:val="0"/>
          <w:w w:val="100"/>
          <w:kern w:val="2"/>
          <w:sz w:val="36"/>
          <w:szCs w:val="36"/>
          <w:lang w:val="en-US" w:eastAsia="zh-CN" w:bidi="ar-SA"/>
        </w:rPr>
        <w:t>盘锦市大洼区国有资产监督管理局</w:t>
      </w: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r>
        <w:rPr>
          <w:rStyle w:val="6"/>
          <w:rFonts w:ascii="宋体" w:hAnsi="宋体"/>
          <w:b/>
          <w:i w:val="0"/>
          <w:caps w:val="0"/>
          <w:spacing w:val="0"/>
          <w:w w:val="100"/>
          <w:kern w:val="2"/>
          <w:sz w:val="36"/>
          <w:szCs w:val="36"/>
          <w:lang w:val="en-US" w:eastAsia="zh-CN" w:bidi="ar-SA"/>
        </w:rPr>
        <w:t>2018年度部门决算情况说明</w:t>
      </w:r>
    </w:p>
    <w:p>
      <w:pPr>
        <w:snapToGrid/>
        <w:spacing w:before="0" w:beforeAutospacing="0" w:after="0" w:afterAutospacing="0" w:line="540" w:lineRule="exact"/>
        <w:jc w:val="both"/>
        <w:textAlignment w:val="baseline"/>
        <w:rPr>
          <w:rStyle w:val="6"/>
          <w:rFonts w:ascii="宋体" w:hAnsi="宋体"/>
          <w:b/>
          <w:i w:val="0"/>
          <w:caps w:val="0"/>
          <w:spacing w:val="0"/>
          <w:w w:val="100"/>
          <w:kern w:val="2"/>
          <w:sz w:val="36"/>
          <w:szCs w:val="36"/>
          <w:lang w:val="en-US" w:eastAsia="zh-CN" w:bidi="ar-SA"/>
        </w:rPr>
      </w:pPr>
    </w:p>
    <w:p>
      <w:pPr>
        <w:snapToGrid/>
        <w:spacing w:before="0" w:beforeAutospacing="0" w:after="0" w:afterAutospacing="0" w:line="540" w:lineRule="exact"/>
        <w:ind w:firstLine="630" w:firstLineChars="196"/>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一、收入支出决算总体情况</w:t>
      </w:r>
    </w:p>
    <w:p>
      <w:pPr>
        <w:snapToGrid/>
        <w:spacing w:before="0" w:beforeAutospacing="0" w:after="0" w:afterAutospacing="0" w:line="540" w:lineRule="exact"/>
        <w:ind w:firstLine="660"/>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（一）收入总计14.28万元，包括：</w:t>
      </w:r>
    </w:p>
    <w:p>
      <w:pPr>
        <w:snapToGrid/>
        <w:spacing w:before="0" w:beforeAutospacing="0" w:after="0" w:afterAutospacing="0" w:line="540" w:lineRule="exact"/>
        <w:ind w:firstLine="66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1.财政拨款收入14.28万元，占收入总计的100%。其中：公共预算财政拨款收入14.28万元，政府性基金收入0万元。</w:t>
      </w:r>
    </w:p>
    <w:p>
      <w:pPr>
        <w:snapToGrid/>
        <w:spacing w:before="0" w:beforeAutospacing="0" w:after="0" w:afterAutospacing="0" w:line="540" w:lineRule="exact"/>
        <w:ind w:firstLine="66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2.上级补助收入0万元。</w:t>
      </w:r>
    </w:p>
    <w:p>
      <w:pPr>
        <w:snapToGrid/>
        <w:spacing w:before="0" w:beforeAutospacing="0" w:after="0" w:afterAutospacing="0" w:line="540" w:lineRule="exact"/>
        <w:ind w:firstLine="66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3.事业收入0万元。</w:t>
      </w:r>
    </w:p>
    <w:p>
      <w:pPr>
        <w:snapToGrid/>
        <w:spacing w:before="0" w:beforeAutospacing="0" w:after="0" w:afterAutospacing="0" w:line="540" w:lineRule="exact"/>
        <w:ind w:firstLine="66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4.经营收入0万元。</w:t>
      </w:r>
    </w:p>
    <w:p>
      <w:pPr>
        <w:snapToGrid/>
        <w:spacing w:before="0" w:beforeAutospacing="0" w:after="0" w:afterAutospacing="0" w:line="540" w:lineRule="exact"/>
        <w:ind w:firstLine="66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5.附属单位上缴收入0万元。</w:t>
      </w:r>
    </w:p>
    <w:p>
      <w:pPr>
        <w:snapToGrid/>
        <w:spacing w:before="0" w:beforeAutospacing="0" w:after="0" w:afterAutospacing="0" w:line="540" w:lineRule="exact"/>
        <w:ind w:firstLine="66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6.其他收入0万元。</w:t>
      </w:r>
    </w:p>
    <w:p>
      <w:pPr>
        <w:snapToGrid/>
        <w:spacing w:before="0" w:beforeAutospacing="0" w:after="0" w:afterAutospacing="0" w:line="540" w:lineRule="exact"/>
        <w:ind w:firstLine="66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7.用事业基金弥补收支差额0万元。</w:t>
      </w:r>
    </w:p>
    <w:p>
      <w:pPr>
        <w:snapToGrid/>
        <w:spacing w:before="0" w:beforeAutospacing="0" w:after="0" w:afterAutospacing="0" w:line="540" w:lineRule="exact"/>
        <w:ind w:firstLine="66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8.上年结转和结余0万元。</w:t>
      </w:r>
    </w:p>
    <w:p>
      <w:pPr>
        <w:snapToGrid/>
        <w:spacing w:before="0" w:beforeAutospacing="0" w:after="0" w:afterAutospacing="0" w:line="540" w:lineRule="exact"/>
        <w:ind w:firstLine="660"/>
        <w:jc w:val="both"/>
        <w:textAlignment w:val="baseline"/>
        <w:rPr>
          <w:rStyle w:val="6"/>
          <w:rFonts w:ascii="仿宋" w:hAnsi="仿宋" w:eastAsia="仿宋"/>
          <w:b w:val="0"/>
          <w:i w:val="0"/>
          <w:caps w:val="0"/>
          <w:color w:val="000000"/>
          <w:spacing w:val="0"/>
          <w:w w:val="100"/>
          <w:kern w:val="2"/>
          <w:sz w:val="32"/>
          <w:szCs w:val="32"/>
          <w:lang w:val="en-US" w:eastAsia="zh-CN" w:bidi="ar-SA"/>
        </w:rPr>
      </w:pPr>
      <w:r>
        <w:rPr>
          <w:rStyle w:val="6"/>
          <w:rFonts w:ascii="仿宋" w:hAnsi="仿宋" w:eastAsia="仿宋"/>
          <w:b w:val="0"/>
          <w:i w:val="0"/>
          <w:caps w:val="0"/>
          <w:color w:val="000000"/>
          <w:spacing w:val="0"/>
          <w:w w:val="100"/>
          <w:kern w:val="2"/>
          <w:sz w:val="32"/>
          <w:szCs w:val="32"/>
          <w:lang w:val="en-US" w:eastAsia="zh-CN" w:bidi="ar-SA"/>
        </w:rPr>
        <w:t>与上年相比，今年收入增加14.28万元，主要原因：本单位为今年新成立单位无上年数据。</w:t>
      </w:r>
    </w:p>
    <w:p>
      <w:pPr>
        <w:snapToGrid/>
        <w:spacing w:before="0" w:beforeAutospacing="0" w:after="0" w:afterAutospacing="0" w:line="540" w:lineRule="exact"/>
        <w:ind w:firstLine="660"/>
        <w:jc w:val="both"/>
        <w:textAlignment w:val="baseline"/>
        <w:rPr>
          <w:rStyle w:val="6"/>
          <w:rFonts w:ascii="仿宋" w:hAnsi="仿宋" w:eastAsia="仿宋"/>
          <w:b/>
          <w:i w:val="0"/>
          <w:caps w:val="0"/>
          <w:color w:val="000000"/>
          <w:spacing w:val="0"/>
          <w:w w:val="100"/>
          <w:kern w:val="2"/>
          <w:sz w:val="32"/>
          <w:szCs w:val="32"/>
          <w:lang w:val="en-US" w:eastAsia="zh-CN" w:bidi="ar-SA"/>
        </w:rPr>
      </w:pPr>
      <w:r>
        <w:rPr>
          <w:rStyle w:val="6"/>
          <w:rFonts w:ascii="仿宋" w:hAnsi="仿宋" w:eastAsia="仿宋"/>
          <w:b/>
          <w:i w:val="0"/>
          <w:caps w:val="0"/>
          <w:color w:val="000000"/>
          <w:spacing w:val="0"/>
          <w:w w:val="100"/>
          <w:kern w:val="2"/>
          <w:sz w:val="32"/>
          <w:szCs w:val="32"/>
          <w:lang w:val="en-US" w:eastAsia="zh-CN" w:bidi="ar-SA"/>
        </w:rPr>
        <w:t>（二）支出总计11.88万元，包括：</w:t>
      </w:r>
    </w:p>
    <w:p>
      <w:pPr>
        <w:snapToGrid/>
        <w:spacing w:before="0" w:beforeAutospacing="0" w:after="0" w:afterAutospacing="0" w:line="540" w:lineRule="exact"/>
        <w:ind w:firstLine="66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1.基本支出11.88万元，占支出总计的83.19%。主要是为保障机构正常运转、完成日常工作任务而发生的各项支出，其中：工资福利支出2.79万元，对个人和家庭的补助支出0万元，商品和服务支出7.21万元，资本性支出1.89万元。</w:t>
      </w:r>
    </w:p>
    <w:p>
      <w:pPr>
        <w:snapToGrid/>
        <w:spacing w:before="0" w:beforeAutospacing="0" w:after="0" w:afterAutospacing="0" w:line="540" w:lineRule="exact"/>
        <w:ind w:firstLine="66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2.项目支出0万元。</w:t>
      </w:r>
    </w:p>
    <w:p>
      <w:pPr>
        <w:snapToGrid/>
        <w:spacing w:before="0" w:beforeAutospacing="0" w:after="0" w:afterAutospacing="0" w:line="540" w:lineRule="exact"/>
        <w:ind w:firstLine="66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3.上缴上级支出0万元。</w:t>
      </w:r>
    </w:p>
    <w:p>
      <w:pPr>
        <w:snapToGrid/>
        <w:spacing w:before="0" w:beforeAutospacing="0" w:after="0" w:afterAutospacing="0" w:line="540" w:lineRule="exact"/>
        <w:ind w:firstLine="66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4.经营支出0万元。</w:t>
      </w:r>
    </w:p>
    <w:p>
      <w:pPr>
        <w:snapToGrid/>
        <w:spacing w:before="0" w:beforeAutospacing="0" w:after="0" w:afterAutospacing="0" w:line="540" w:lineRule="exact"/>
        <w:ind w:firstLine="66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5.对附属单位补助支出0万元。</w:t>
      </w:r>
    </w:p>
    <w:p>
      <w:pPr>
        <w:snapToGrid/>
        <w:spacing w:before="0" w:beforeAutospacing="0" w:after="0" w:afterAutospacing="0" w:line="540" w:lineRule="exact"/>
        <w:ind w:firstLine="660"/>
        <w:jc w:val="both"/>
        <w:textAlignment w:val="baseline"/>
        <w:rPr>
          <w:rStyle w:val="6"/>
          <w:rFonts w:ascii="仿宋" w:hAnsi="仿宋" w:eastAsia="仿宋"/>
          <w:b w:val="0"/>
          <w:i w:val="0"/>
          <w:caps w:val="0"/>
          <w:color w:val="000000"/>
          <w:spacing w:val="0"/>
          <w:w w:val="100"/>
          <w:kern w:val="2"/>
          <w:sz w:val="32"/>
          <w:szCs w:val="32"/>
          <w:lang w:val="en-US" w:eastAsia="zh-CN" w:bidi="ar-SA"/>
        </w:rPr>
      </w:pPr>
      <w:r>
        <w:rPr>
          <w:rStyle w:val="6"/>
          <w:rFonts w:ascii="仿宋" w:hAnsi="仿宋" w:eastAsia="仿宋"/>
          <w:b w:val="0"/>
          <w:i w:val="0"/>
          <w:caps w:val="0"/>
          <w:color w:val="000000"/>
          <w:spacing w:val="0"/>
          <w:w w:val="100"/>
          <w:kern w:val="2"/>
          <w:sz w:val="32"/>
          <w:szCs w:val="32"/>
          <w:lang w:val="en-US" w:eastAsia="zh-CN" w:bidi="ar-SA"/>
        </w:rPr>
        <w:t>与上年相比，今年支出增加11.88万元，主要原因：本单位为今年新成立单位无上年数据。</w:t>
      </w:r>
    </w:p>
    <w:p>
      <w:pPr>
        <w:snapToGrid/>
        <w:spacing w:before="0" w:beforeAutospacing="0" w:after="0" w:afterAutospacing="0" w:line="540" w:lineRule="exact"/>
        <w:ind w:firstLine="660"/>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（三）年末结转和结余2.4万元。</w:t>
      </w:r>
    </w:p>
    <w:p>
      <w:pPr>
        <w:snapToGrid/>
        <w:spacing w:before="0" w:beforeAutospacing="0" w:after="0" w:afterAutospacing="0" w:line="540" w:lineRule="exact"/>
        <w:ind w:firstLine="66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主要是办公经费形成的结余。与上年相比，今年结转结余增加2.4万元，主要原因：</w:t>
      </w:r>
      <w:r>
        <w:rPr>
          <w:rStyle w:val="6"/>
          <w:rFonts w:ascii="仿宋" w:hAnsi="仿宋" w:eastAsia="仿宋"/>
          <w:b w:val="0"/>
          <w:i w:val="0"/>
          <w:caps w:val="0"/>
          <w:color w:val="000000"/>
          <w:spacing w:val="0"/>
          <w:w w:val="100"/>
          <w:kern w:val="2"/>
          <w:sz w:val="32"/>
          <w:szCs w:val="32"/>
          <w:lang w:val="en-US" w:eastAsia="zh-CN" w:bidi="ar-SA"/>
        </w:rPr>
        <w:t>本单位为今年新成立单位无上年数据</w:t>
      </w:r>
      <w:r>
        <w:rPr>
          <w:rStyle w:val="6"/>
          <w:rFonts w:ascii="仿宋" w:hAnsi="仿宋" w:eastAsia="仿宋"/>
          <w:b w:val="0"/>
          <w:i w:val="0"/>
          <w:caps w:val="0"/>
          <w:spacing w:val="0"/>
          <w:w w:val="100"/>
          <w:kern w:val="2"/>
          <w:sz w:val="32"/>
          <w:szCs w:val="32"/>
          <w:lang w:val="en-US" w:eastAsia="zh-CN" w:bidi="ar-SA"/>
        </w:rPr>
        <w:t>。</w:t>
      </w:r>
    </w:p>
    <w:p>
      <w:pPr>
        <w:snapToGrid/>
        <w:spacing w:before="0" w:beforeAutospacing="0" w:after="0" w:afterAutospacing="0" w:line="540" w:lineRule="exact"/>
        <w:ind w:firstLine="660"/>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二、财政拨款支出决算情况</w:t>
      </w:r>
    </w:p>
    <w:p>
      <w:pPr>
        <w:snapToGrid/>
        <w:spacing w:before="0" w:beforeAutospacing="0" w:after="0" w:afterAutospacing="0" w:line="540" w:lineRule="exact"/>
        <w:ind w:firstLine="660"/>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（一）总体情况。</w:t>
      </w:r>
    </w:p>
    <w:p>
      <w:pPr>
        <w:snapToGrid/>
        <w:spacing w:before="0" w:beforeAutospacing="0" w:after="0" w:afterAutospacing="0" w:line="540" w:lineRule="exact"/>
        <w:ind w:firstLine="66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2018年度财政拨款支出11.88万元，其中：基本支出11.88万元，项目支出0万元。与上年相比，财政拨款支出增加11.88万元，主要原因：</w:t>
      </w:r>
      <w:r>
        <w:rPr>
          <w:rStyle w:val="6"/>
          <w:rFonts w:ascii="仿宋" w:hAnsi="仿宋" w:eastAsia="仿宋"/>
          <w:b w:val="0"/>
          <w:i w:val="0"/>
          <w:caps w:val="0"/>
          <w:color w:val="000000"/>
          <w:spacing w:val="0"/>
          <w:w w:val="100"/>
          <w:kern w:val="2"/>
          <w:sz w:val="32"/>
          <w:szCs w:val="32"/>
          <w:lang w:val="en-US" w:eastAsia="zh-CN" w:bidi="ar-SA"/>
        </w:rPr>
        <w:t>本单位为今年新成立单位无上年数据</w:t>
      </w:r>
      <w:r>
        <w:rPr>
          <w:rStyle w:val="6"/>
          <w:rFonts w:ascii="仿宋" w:hAnsi="仿宋" w:eastAsia="仿宋"/>
          <w:b w:val="0"/>
          <w:i w:val="0"/>
          <w:caps w:val="0"/>
          <w:spacing w:val="0"/>
          <w:w w:val="100"/>
          <w:kern w:val="2"/>
          <w:sz w:val="32"/>
          <w:szCs w:val="32"/>
          <w:lang w:val="en-US" w:eastAsia="zh-CN" w:bidi="ar-SA"/>
        </w:rPr>
        <w:t>。与年初预算相比，2018财政拨款支出完成年初预算的83.19%，其中：基本支出完成年初预算的83.19%，项目完成年初预算的0%。</w:t>
      </w:r>
    </w:p>
    <w:p>
      <w:pPr>
        <w:snapToGrid/>
        <w:spacing w:before="0" w:beforeAutospacing="0" w:after="0" w:afterAutospacing="0" w:line="540" w:lineRule="exact"/>
        <w:ind w:firstLine="660"/>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（二）具体情况。</w:t>
      </w:r>
    </w:p>
    <w:p>
      <w:pPr>
        <w:snapToGrid/>
        <w:spacing w:before="0" w:beforeAutospacing="0" w:after="0" w:afterAutospacing="0" w:line="540" w:lineRule="exact"/>
        <w:ind w:firstLine="66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2018年度财政拨款支出11.88万元，按支出功能分类科目分，包括：一般公共服务支出11.30万元，占95.12%；社会保障和就业支出0.45万元，占3.79%；住房保障支出0.13万元，占1.09%。</w:t>
      </w:r>
    </w:p>
    <w:p>
      <w:pPr>
        <w:snapToGrid/>
        <w:spacing w:before="0" w:beforeAutospacing="0" w:after="0" w:afterAutospacing="0" w:line="540" w:lineRule="exact"/>
        <w:ind w:firstLine="66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1.一般公共服务支出11.30万元，具体包括：</w:t>
      </w:r>
    </w:p>
    <w:p>
      <w:pPr>
        <w:snapToGrid/>
        <w:spacing w:before="0" w:beforeAutospacing="0" w:after="0" w:afterAutospacing="0" w:line="540" w:lineRule="exact"/>
        <w:ind w:firstLine="640" w:firstLineChars="20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行政运行11.30万元，主要是人员工资及日常办公费用等支出，完成年初预算的82.48%，决算数小于年初预算数的原因主要是部分办公经费。</w:t>
      </w:r>
    </w:p>
    <w:p>
      <w:pPr>
        <w:snapToGrid/>
        <w:spacing w:before="0" w:beforeAutospacing="0" w:after="0" w:afterAutospacing="0" w:line="540" w:lineRule="exact"/>
        <w:ind w:firstLine="66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2.社会保障和就业支出0.45万元，具体包括：</w:t>
      </w:r>
    </w:p>
    <w:p>
      <w:pPr>
        <w:snapToGrid/>
        <w:spacing w:before="0" w:beforeAutospacing="0" w:after="0" w:afterAutospacing="0" w:line="540" w:lineRule="exact"/>
        <w:ind w:firstLine="640" w:firstLineChars="20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机关事业单位基本养老保险缴费0.45万元，主要是人员养老保险等支出，完成年初预算的100%，</w:t>
      </w:r>
    </w:p>
    <w:p>
      <w:pPr>
        <w:snapToGrid/>
        <w:spacing w:before="0" w:beforeAutospacing="0" w:after="0" w:afterAutospacing="0" w:line="540" w:lineRule="exact"/>
        <w:ind w:firstLine="66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3.住房保障支出0.13万元，具体包括：</w:t>
      </w:r>
    </w:p>
    <w:p>
      <w:pPr>
        <w:snapToGrid/>
        <w:spacing w:before="0" w:beforeAutospacing="0" w:after="0" w:afterAutospacing="0" w:line="540" w:lineRule="exact"/>
        <w:ind w:firstLine="66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住房公积金0.13万元，主要是人员住房公积金等支出，完成年初预算的100%，</w:t>
      </w:r>
    </w:p>
    <w:p>
      <w:pPr>
        <w:snapToGrid/>
        <w:spacing w:before="0" w:beforeAutospacing="0" w:after="0" w:afterAutospacing="0" w:line="540" w:lineRule="exact"/>
        <w:ind w:firstLine="660"/>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三、一般公共预算财政拨款“三公”经费支出决算情况</w:t>
      </w:r>
    </w:p>
    <w:p>
      <w:pPr>
        <w:snapToGrid/>
        <w:spacing w:before="0" w:beforeAutospacing="0" w:after="0" w:afterAutospacing="0" w:line="540" w:lineRule="exact"/>
        <w:ind w:firstLine="645"/>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2018年度一般公共预算财政拨款安排的“三公”经费支出0万元，年初未安排“三公”经费预算。与上年相比无变化。</w:t>
      </w:r>
    </w:p>
    <w:p>
      <w:pPr>
        <w:snapToGrid/>
        <w:spacing w:before="0" w:beforeAutospacing="0" w:after="0" w:afterAutospacing="0" w:line="540" w:lineRule="exact"/>
        <w:ind w:firstLine="645"/>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1.因公出国（境）费0万元，2018年参加出国（境）团组0个，累计0人次。2018年因公出国（境）与上年相比无变化。</w:t>
      </w:r>
    </w:p>
    <w:p>
      <w:pPr>
        <w:snapToGrid/>
        <w:spacing w:before="0" w:beforeAutospacing="0" w:after="0" w:afterAutospacing="0" w:line="540" w:lineRule="exact"/>
        <w:ind w:firstLine="645"/>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2.公务接待费0万元，2018年国内公务接待累计0批次，0人，0万元，与上年相比无变化。</w:t>
      </w:r>
    </w:p>
    <w:p>
      <w:pPr>
        <w:snapToGrid/>
        <w:spacing w:before="0" w:beforeAutospacing="0" w:after="0" w:afterAutospacing="0" w:line="540" w:lineRule="exact"/>
        <w:ind w:firstLine="645"/>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3. 公务用车购置及运行费0万元，与上年相比无变化。</w:t>
      </w:r>
    </w:p>
    <w:p>
      <w:pPr>
        <w:snapToGrid/>
        <w:spacing w:before="0" w:beforeAutospacing="0" w:after="0" w:afterAutospacing="0" w:line="540" w:lineRule="exact"/>
        <w:ind w:firstLine="645"/>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公务用车购置费0万元，当年购置公务用车0辆。</w:t>
      </w:r>
    </w:p>
    <w:p>
      <w:pPr>
        <w:snapToGrid/>
        <w:spacing w:before="0" w:beforeAutospacing="0" w:after="0" w:afterAutospacing="0" w:line="540" w:lineRule="exact"/>
        <w:ind w:firstLine="645"/>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公务用车运行维护费0万元，截至年末使用一般公共预算财政拨款开支的公务用车保有量0辆。</w:t>
      </w:r>
    </w:p>
    <w:p>
      <w:pPr>
        <w:snapToGrid/>
        <w:spacing w:before="0" w:beforeAutospacing="0" w:after="0" w:afterAutospacing="0" w:line="540" w:lineRule="exact"/>
        <w:ind w:firstLine="660"/>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四、一般公共预算财政拨款基本支出决算情况说明</w:t>
      </w:r>
    </w:p>
    <w:p>
      <w:pPr>
        <w:snapToGrid/>
        <w:spacing w:before="0" w:beforeAutospacing="0" w:after="0" w:afterAutospacing="0" w:line="540" w:lineRule="exact"/>
        <w:ind w:firstLine="645"/>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2018年度一般公共预算财政拨款基本支出11.88万元，其中：人员经费2.79万元，主要包括基本工资、津贴补贴、机关事业单位基本养老保险缴费、住房公积金；日常公用经费9.09万元，主要包括办公费、邮电费、差旅费、维修（护）费、租赁费、 专用材料费、其他商品和服务支出、办公设备购置。</w:t>
      </w:r>
    </w:p>
    <w:p>
      <w:pPr>
        <w:snapToGrid/>
        <w:spacing w:before="0" w:beforeAutospacing="0" w:after="0" w:afterAutospacing="0" w:line="540" w:lineRule="exact"/>
        <w:ind w:firstLine="643" w:firstLineChars="200"/>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五、其他重要事项的情况说明</w:t>
      </w:r>
    </w:p>
    <w:p>
      <w:pPr>
        <w:snapToGrid/>
        <w:spacing w:before="0" w:beforeAutospacing="0" w:after="0" w:afterAutospacing="0" w:line="540" w:lineRule="exact"/>
        <w:ind w:firstLine="643" w:firstLineChars="200"/>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（一）机关运行经费支出情况。</w:t>
      </w:r>
    </w:p>
    <w:p>
      <w:pPr>
        <w:snapToGrid/>
        <w:spacing w:before="0" w:beforeAutospacing="0" w:after="0" w:afterAutospacing="0" w:line="540" w:lineRule="exact"/>
        <w:ind w:firstLine="640" w:firstLineChars="20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2018年盘锦市大洼区国有资产监督管理局机关运行经费支出9.09万元，比上年增加9.09万元，主要原因是本单位今年新成立无上年数据。</w:t>
      </w:r>
    </w:p>
    <w:p>
      <w:pPr>
        <w:snapToGrid/>
        <w:spacing w:before="0" w:beforeAutospacing="0" w:after="0" w:afterAutospacing="0" w:line="540" w:lineRule="exact"/>
        <w:ind w:firstLine="660"/>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（二）政府采购支出情况。</w:t>
      </w:r>
    </w:p>
    <w:p>
      <w:pPr>
        <w:snapToGrid/>
        <w:spacing w:before="0" w:beforeAutospacing="0" w:after="0" w:afterAutospacing="0" w:line="540" w:lineRule="exact"/>
        <w:ind w:firstLine="640" w:firstLineChars="20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2018年盘锦市大洼区国有资产监督管理局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snapToGrid/>
        <w:spacing w:before="0" w:beforeAutospacing="0" w:after="0" w:afterAutospacing="0" w:line="540" w:lineRule="exact"/>
        <w:ind w:firstLine="643" w:firstLineChars="200"/>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（三）国有资产占用情况。</w:t>
      </w:r>
    </w:p>
    <w:p>
      <w:pPr>
        <w:snapToGrid/>
        <w:spacing w:before="0" w:beforeAutospacing="0" w:after="0" w:afterAutospacing="0" w:line="540" w:lineRule="exact"/>
        <w:ind w:firstLine="640" w:firstLineChars="20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截至2018年12月31日，盘锦市大洼区国有资产监督管理局共有车辆0辆，其中：一般公务用车0辆，一般执法执勤用车0辆，特种专业技术用车0辆，其他用车0辆，其他用车主要是0；单位价值50万元以上通用设备0台（套），单价100万元以上专用设备0台（套）。</w:t>
      </w:r>
    </w:p>
    <w:p>
      <w:pPr>
        <w:snapToGrid/>
        <w:spacing w:before="0" w:beforeAutospacing="0" w:after="0" w:afterAutospacing="0" w:line="540" w:lineRule="exact"/>
        <w:ind w:firstLine="643" w:firstLineChars="200"/>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（四）预算绩效管理工作开展情况。</w:t>
      </w:r>
    </w:p>
    <w:p>
      <w:pPr>
        <w:snapToGrid/>
        <w:spacing w:before="0" w:beforeAutospacing="0" w:after="0" w:afterAutospacing="0" w:line="540" w:lineRule="exact"/>
        <w:ind w:firstLine="720"/>
        <w:jc w:val="both"/>
        <w:textAlignment w:val="baseline"/>
        <w:rPr>
          <w:rStyle w:val="6"/>
          <w:rFonts w:ascii="仿宋" w:hAnsi="仿宋" w:eastAsia="仿宋"/>
          <w:b w:val="0"/>
          <w:i w:val="0"/>
          <w:caps w:val="0"/>
          <w:color w:val="000000"/>
          <w:spacing w:val="0"/>
          <w:w w:val="100"/>
          <w:kern w:val="2"/>
          <w:sz w:val="32"/>
          <w:szCs w:val="32"/>
          <w:lang w:val="en-US" w:eastAsia="zh-CN" w:bidi="ar-SA"/>
        </w:rPr>
      </w:pPr>
      <w:r>
        <w:rPr>
          <w:rStyle w:val="6"/>
          <w:rFonts w:ascii="仿宋" w:hAnsi="仿宋" w:eastAsia="仿宋"/>
          <w:b w:val="0"/>
          <w:i w:val="0"/>
          <w:caps w:val="0"/>
          <w:color w:val="000000"/>
          <w:spacing w:val="0"/>
          <w:w w:val="100"/>
          <w:kern w:val="2"/>
          <w:sz w:val="32"/>
          <w:szCs w:val="32"/>
          <w:lang w:val="en-US" w:eastAsia="zh-CN" w:bidi="ar-SA"/>
        </w:rPr>
        <w:t>根据财政预算管理要求，</w:t>
      </w:r>
      <w:r>
        <w:rPr>
          <w:rStyle w:val="6"/>
          <w:rFonts w:ascii="仿宋" w:hAnsi="仿宋" w:eastAsia="仿宋"/>
          <w:b w:val="0"/>
          <w:i w:val="0"/>
          <w:caps w:val="0"/>
          <w:spacing w:val="0"/>
          <w:w w:val="100"/>
          <w:kern w:val="2"/>
          <w:sz w:val="32"/>
          <w:szCs w:val="32"/>
          <w:lang w:val="en-US" w:eastAsia="zh-CN" w:bidi="ar-SA"/>
        </w:rPr>
        <w:t>盘锦市大洼区国有资产监督管理局</w:t>
      </w:r>
      <w:r>
        <w:rPr>
          <w:rStyle w:val="6"/>
          <w:rFonts w:ascii="仿宋" w:hAnsi="仿宋" w:eastAsia="仿宋"/>
          <w:b w:val="0"/>
          <w:i w:val="0"/>
          <w:caps w:val="0"/>
          <w:color w:val="000000"/>
          <w:spacing w:val="0"/>
          <w:w w:val="100"/>
          <w:kern w:val="2"/>
          <w:sz w:val="32"/>
          <w:szCs w:val="32"/>
          <w:lang w:val="en-US" w:eastAsia="zh-CN" w:bidi="ar-SA"/>
        </w:rPr>
        <w:t>未组织对2018年度预算项目支出全面开展绩效自评。</w:t>
      </w:r>
    </w:p>
    <w:p>
      <w:pPr>
        <w:snapToGrid/>
        <w:spacing w:before="0" w:beforeAutospacing="0" w:after="0" w:afterAutospacing="0" w:line="540" w:lineRule="exact"/>
        <w:ind w:firstLine="642"/>
        <w:jc w:val="both"/>
        <w:textAlignment w:val="baseline"/>
        <w:rPr>
          <w:rStyle w:val="6"/>
          <w:rFonts w:ascii="仿宋" w:hAnsi="仿宋" w:eastAsia="仿宋" w:cs="Times New Roman"/>
          <w:b w:val="0"/>
          <w:bCs/>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（五）政府性基金预算财政拨款收入支出及财政专户管理资金收入支出情况。</w:t>
      </w:r>
    </w:p>
    <w:p>
      <w:pPr>
        <w:snapToGrid/>
        <w:spacing w:before="0" w:beforeAutospacing="0" w:after="0" w:afterAutospacing="0" w:line="540" w:lineRule="exact"/>
        <w:ind w:firstLine="720"/>
        <w:jc w:val="both"/>
        <w:textAlignment w:val="baseline"/>
        <w:rPr>
          <w:rStyle w:val="6"/>
          <w:rFonts w:ascii="仿宋" w:hAnsi="仿宋" w:eastAsia="仿宋"/>
          <w:b w:val="0"/>
          <w:i w:val="0"/>
          <w:caps w:val="0"/>
          <w:color w:val="000000"/>
          <w:spacing w:val="0"/>
          <w:w w:val="100"/>
          <w:kern w:val="2"/>
          <w:sz w:val="32"/>
          <w:szCs w:val="32"/>
          <w:lang w:val="en-US" w:eastAsia="zh-CN" w:bidi="ar-SA"/>
        </w:rPr>
      </w:pPr>
      <w:r>
        <w:rPr>
          <w:rStyle w:val="6"/>
          <w:rFonts w:ascii="仿宋" w:hAnsi="仿宋" w:eastAsia="仿宋"/>
          <w:b w:val="0"/>
          <w:i w:val="0"/>
          <w:caps w:val="0"/>
          <w:color w:val="000000"/>
          <w:spacing w:val="0"/>
          <w:w w:val="100"/>
          <w:kern w:val="2"/>
          <w:sz w:val="32"/>
          <w:szCs w:val="32"/>
          <w:lang w:val="en-US" w:eastAsia="zh-CN" w:bidi="ar-SA"/>
        </w:rPr>
        <w:t>本年未发生政府性基金预算财政拨款收入支出及财政专户管理资金收入支出，本单位这2张表公开空表。</w:t>
      </w:r>
    </w:p>
    <w:p>
      <w:pPr>
        <w:snapToGrid/>
        <w:spacing w:before="0" w:beforeAutospacing="0" w:after="0" w:afterAutospacing="0" w:line="540" w:lineRule="exact"/>
        <w:ind w:firstLine="720"/>
        <w:jc w:val="both"/>
        <w:textAlignment w:val="baseline"/>
        <w:rPr>
          <w:rStyle w:val="6"/>
          <w:rFonts w:ascii="仿宋" w:hAnsi="仿宋" w:eastAsia="仿宋"/>
          <w:b w:val="0"/>
          <w:i w:val="0"/>
          <w:caps w:val="0"/>
          <w:color w:val="000000"/>
          <w:spacing w:val="0"/>
          <w:w w:val="100"/>
          <w:kern w:val="2"/>
          <w:sz w:val="32"/>
          <w:szCs w:val="32"/>
          <w:lang w:val="en-US" w:eastAsia="zh-CN" w:bidi="ar-SA"/>
        </w:rPr>
      </w:pPr>
    </w:p>
    <w:p>
      <w:pPr>
        <w:snapToGrid/>
        <w:spacing w:before="0" w:beforeAutospacing="0" w:after="0" w:afterAutospacing="0" w:line="540" w:lineRule="exact"/>
        <w:ind w:firstLine="720"/>
        <w:jc w:val="both"/>
        <w:textAlignment w:val="baseline"/>
        <w:rPr>
          <w:rStyle w:val="6"/>
          <w:rFonts w:ascii="仿宋" w:hAnsi="仿宋" w:eastAsia="仿宋"/>
          <w:b w:val="0"/>
          <w:i w:val="0"/>
          <w:caps w:val="0"/>
          <w:color w:val="000000"/>
          <w:spacing w:val="0"/>
          <w:w w:val="100"/>
          <w:kern w:val="2"/>
          <w:sz w:val="32"/>
          <w:szCs w:val="32"/>
          <w:lang w:val="en-US" w:eastAsia="zh-CN" w:bidi="ar-SA"/>
        </w:rPr>
      </w:pPr>
    </w:p>
    <w:p>
      <w:pPr>
        <w:snapToGrid/>
        <w:spacing w:before="0" w:beforeAutospacing="0" w:after="0" w:afterAutospacing="0" w:line="540" w:lineRule="exact"/>
        <w:ind w:firstLine="720"/>
        <w:jc w:val="both"/>
        <w:textAlignment w:val="baseline"/>
        <w:rPr>
          <w:rStyle w:val="6"/>
          <w:rFonts w:ascii="仿宋" w:hAnsi="仿宋" w:eastAsia="仿宋"/>
          <w:b w:val="0"/>
          <w:i w:val="0"/>
          <w:caps w:val="0"/>
          <w:color w:val="000000"/>
          <w:spacing w:val="0"/>
          <w:w w:val="100"/>
          <w:kern w:val="2"/>
          <w:sz w:val="32"/>
          <w:szCs w:val="32"/>
          <w:lang w:val="en-US" w:eastAsia="zh-CN" w:bidi="ar-SA"/>
        </w:rPr>
      </w:pPr>
    </w:p>
    <w:p>
      <w:pPr>
        <w:snapToGrid/>
        <w:spacing w:before="0" w:beforeAutospacing="0" w:after="0" w:afterAutospacing="0" w:line="540" w:lineRule="exact"/>
        <w:ind w:firstLine="720"/>
        <w:jc w:val="both"/>
        <w:textAlignment w:val="baseline"/>
        <w:rPr>
          <w:rStyle w:val="6"/>
          <w:rFonts w:ascii="仿宋" w:hAnsi="仿宋" w:eastAsia="仿宋"/>
          <w:b w:val="0"/>
          <w:i w:val="0"/>
          <w:caps w:val="0"/>
          <w:color w:val="000000"/>
          <w:spacing w:val="0"/>
          <w:w w:val="100"/>
          <w:kern w:val="2"/>
          <w:sz w:val="32"/>
          <w:szCs w:val="32"/>
          <w:lang w:val="en-US" w:eastAsia="zh-CN" w:bidi="ar-SA"/>
        </w:rPr>
      </w:pPr>
    </w:p>
    <w:p>
      <w:pPr>
        <w:snapToGrid/>
        <w:spacing w:before="0" w:beforeAutospacing="0" w:after="0" w:afterAutospacing="0" w:line="540" w:lineRule="exact"/>
        <w:jc w:val="both"/>
        <w:textAlignment w:val="baseline"/>
        <w:rPr>
          <w:rStyle w:val="6"/>
          <w:rFonts w:ascii="仿宋" w:hAnsi="仿宋" w:eastAsia="仿宋"/>
          <w:b/>
          <w:i w:val="0"/>
          <w:caps w:val="0"/>
          <w:spacing w:val="0"/>
          <w:w w:val="100"/>
          <w:kern w:val="2"/>
          <w:sz w:val="32"/>
          <w:szCs w:val="32"/>
          <w:lang w:val="en-US" w:eastAsia="zh-CN" w:bidi="ar-SA"/>
        </w:rPr>
      </w:pPr>
    </w:p>
    <w:p>
      <w:pPr>
        <w:snapToGrid/>
        <w:spacing w:before="0" w:beforeAutospacing="0" w:after="0" w:afterAutospacing="0" w:line="540" w:lineRule="exact"/>
        <w:jc w:val="both"/>
        <w:textAlignment w:val="baseline"/>
        <w:rPr>
          <w:rStyle w:val="6"/>
          <w:rFonts w:ascii="仿宋" w:hAnsi="仿宋" w:eastAsia="仿宋"/>
          <w:b/>
          <w:i w:val="0"/>
          <w:caps w:val="0"/>
          <w:spacing w:val="0"/>
          <w:w w:val="100"/>
          <w:kern w:val="2"/>
          <w:sz w:val="32"/>
          <w:szCs w:val="32"/>
          <w:lang w:val="en-US" w:eastAsia="zh-CN" w:bidi="ar-SA"/>
        </w:rPr>
      </w:pPr>
    </w:p>
    <w:p>
      <w:pPr>
        <w:snapToGrid/>
        <w:spacing w:before="0" w:beforeAutospacing="0" w:after="0" w:afterAutospacing="0" w:line="540" w:lineRule="exact"/>
        <w:jc w:val="center"/>
        <w:textAlignment w:val="baseline"/>
        <w:rPr>
          <w:rStyle w:val="6"/>
          <w:rFonts w:ascii="宋体" w:hAnsi="宋体"/>
          <w:b/>
          <w:i w:val="0"/>
          <w:caps w:val="0"/>
          <w:spacing w:val="0"/>
          <w:w w:val="100"/>
          <w:kern w:val="2"/>
          <w:sz w:val="36"/>
          <w:szCs w:val="36"/>
          <w:lang w:val="en-US" w:eastAsia="zh-CN" w:bidi="ar-SA"/>
        </w:rPr>
      </w:pPr>
      <w:r>
        <w:rPr>
          <w:rStyle w:val="6"/>
          <w:rFonts w:ascii="宋体" w:hAnsi="宋体"/>
          <w:b/>
          <w:i w:val="0"/>
          <w:caps w:val="0"/>
          <w:spacing w:val="0"/>
          <w:w w:val="100"/>
          <w:kern w:val="2"/>
          <w:sz w:val="36"/>
          <w:szCs w:val="36"/>
          <w:lang w:val="en-US" w:eastAsia="zh-CN" w:bidi="ar-SA"/>
        </w:rPr>
        <w:t>第四部分 名词解释</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1.财政拨款收入：</w:t>
      </w:r>
      <w:r>
        <w:rPr>
          <w:rStyle w:val="6"/>
          <w:rFonts w:ascii="仿宋" w:hAnsi="仿宋" w:eastAsia="仿宋"/>
          <w:b w:val="0"/>
          <w:i w:val="0"/>
          <w:caps w:val="0"/>
          <w:spacing w:val="0"/>
          <w:w w:val="100"/>
          <w:kern w:val="2"/>
          <w:sz w:val="32"/>
          <w:szCs w:val="32"/>
          <w:lang w:val="en-US" w:eastAsia="zh-CN" w:bidi="ar-SA"/>
        </w:rPr>
        <w:t>指单位从同级财政部门取得的财政预算资金。</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2.上级补助收入：</w:t>
      </w:r>
      <w:r>
        <w:rPr>
          <w:rStyle w:val="6"/>
          <w:rFonts w:ascii="仿宋" w:hAnsi="仿宋" w:eastAsia="仿宋"/>
          <w:b w:val="0"/>
          <w:i w:val="0"/>
          <w:caps w:val="0"/>
          <w:spacing w:val="0"/>
          <w:w w:val="100"/>
          <w:kern w:val="2"/>
          <w:sz w:val="32"/>
          <w:szCs w:val="32"/>
          <w:lang w:val="en-US" w:eastAsia="zh-CN" w:bidi="ar-SA"/>
        </w:rPr>
        <w:t>指单位从主管部门和上级单位取得的非财政性补助收入。</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3.事业收入：</w:t>
      </w:r>
      <w:r>
        <w:rPr>
          <w:rStyle w:val="6"/>
          <w:rFonts w:ascii="仿宋" w:hAnsi="仿宋" w:eastAsia="仿宋"/>
          <w:b w:val="0"/>
          <w:i w:val="0"/>
          <w:caps w:val="0"/>
          <w:spacing w:val="0"/>
          <w:w w:val="100"/>
          <w:kern w:val="2"/>
          <w:sz w:val="32"/>
          <w:szCs w:val="32"/>
          <w:lang w:val="en-US" w:eastAsia="zh-CN" w:bidi="ar-SA"/>
        </w:rPr>
        <w:t>指事业单位开展专业业务活动及辅助活动所取得的收入。</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4.经营收入：</w:t>
      </w:r>
      <w:r>
        <w:rPr>
          <w:rStyle w:val="6"/>
          <w:rFonts w:ascii="仿宋" w:hAnsi="仿宋" w:eastAsia="仿宋"/>
          <w:b w:val="0"/>
          <w:i w:val="0"/>
          <w:caps w:val="0"/>
          <w:spacing w:val="0"/>
          <w:w w:val="100"/>
          <w:kern w:val="2"/>
          <w:sz w:val="32"/>
          <w:szCs w:val="32"/>
          <w:lang w:val="en-US" w:eastAsia="zh-CN" w:bidi="ar-SA"/>
        </w:rPr>
        <w:t>指事业单位在专业业务活动及辅助活动之外开展非独立核算经营活动取得的收入。</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5.附属单位上缴收入：</w:t>
      </w:r>
      <w:r>
        <w:rPr>
          <w:rStyle w:val="6"/>
          <w:rFonts w:ascii="仿宋" w:hAnsi="仿宋" w:eastAsia="仿宋"/>
          <w:b w:val="0"/>
          <w:i w:val="0"/>
          <w:caps w:val="0"/>
          <w:spacing w:val="0"/>
          <w:w w:val="100"/>
          <w:kern w:val="2"/>
          <w:sz w:val="32"/>
          <w:szCs w:val="32"/>
          <w:lang w:val="en-US" w:eastAsia="zh-CN" w:bidi="ar-SA"/>
        </w:rPr>
        <w:t>指单位附属的独立核算单位按照规定上缴的收入。</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6.其他收入：</w:t>
      </w:r>
      <w:r>
        <w:rPr>
          <w:rStyle w:val="6"/>
          <w:rFonts w:ascii="仿宋" w:hAnsi="仿宋" w:eastAsia="仿宋"/>
          <w:b w:val="0"/>
          <w:i w:val="0"/>
          <w:caps w:val="0"/>
          <w:spacing w:val="0"/>
          <w:w w:val="100"/>
          <w:kern w:val="2"/>
          <w:sz w:val="32"/>
          <w:szCs w:val="32"/>
          <w:lang w:val="en-US" w:eastAsia="zh-CN" w:bidi="ar-SA"/>
        </w:rPr>
        <w:t>指除上述“财政拨款收入”、</w:t>
      </w:r>
      <w:r>
        <w:rPr>
          <w:rStyle w:val="6"/>
          <w:rFonts w:ascii="仿宋" w:hAnsi="仿宋" w:eastAsia="仿宋"/>
          <w:b/>
          <w:i w:val="0"/>
          <w:caps w:val="0"/>
          <w:spacing w:val="0"/>
          <w:w w:val="100"/>
          <w:kern w:val="2"/>
          <w:sz w:val="32"/>
          <w:szCs w:val="32"/>
          <w:lang w:val="en-US" w:eastAsia="zh-CN" w:bidi="ar-SA"/>
        </w:rPr>
        <w:t xml:space="preserve"> </w:t>
      </w:r>
      <w:r>
        <w:rPr>
          <w:rStyle w:val="6"/>
          <w:rFonts w:ascii="仿宋" w:hAnsi="仿宋" w:eastAsia="仿宋"/>
          <w:b w:val="0"/>
          <w:i w:val="0"/>
          <w:caps w:val="0"/>
          <w:spacing w:val="0"/>
          <w:w w:val="100"/>
          <w:kern w:val="2"/>
          <w:sz w:val="32"/>
          <w:szCs w:val="32"/>
          <w:lang w:val="en-US" w:eastAsia="zh-CN" w:bidi="ar-SA"/>
        </w:rPr>
        <w:t>“上级补助收入”、“事业收入”、“经营收入”、“附属单位上缴收入”等以外的收入。</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7.用事业基金弥补收支差额：</w:t>
      </w:r>
      <w:r>
        <w:rPr>
          <w:rStyle w:val="6"/>
          <w:rFonts w:ascii="仿宋" w:hAnsi="仿宋" w:eastAsia="仿宋"/>
          <w:b w:val="0"/>
          <w:i w:val="0"/>
          <w:caps w:val="0"/>
          <w:spacing w:val="0"/>
          <w:w w:val="100"/>
          <w:kern w:val="2"/>
          <w:sz w:val="32"/>
          <w:szCs w:val="32"/>
          <w:lang w:val="en-US" w:eastAsia="zh-CN" w:bidi="ar-SA"/>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8.上年结转和结余：</w:t>
      </w:r>
      <w:r>
        <w:rPr>
          <w:rStyle w:val="6"/>
          <w:rFonts w:ascii="仿宋" w:hAnsi="仿宋" w:eastAsia="仿宋"/>
          <w:b w:val="0"/>
          <w:i w:val="0"/>
          <w:caps w:val="0"/>
          <w:spacing w:val="0"/>
          <w:w w:val="100"/>
          <w:kern w:val="2"/>
          <w:sz w:val="32"/>
          <w:szCs w:val="32"/>
          <w:lang w:val="en-US" w:eastAsia="zh-CN" w:bidi="ar-SA"/>
        </w:rPr>
        <w:t>指以前年度尚未完成、结转到本年按有关规定继续使用的资金。</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9.基本支出：</w:t>
      </w:r>
      <w:r>
        <w:rPr>
          <w:rStyle w:val="6"/>
          <w:rFonts w:ascii="仿宋" w:hAnsi="仿宋" w:eastAsia="仿宋"/>
          <w:b w:val="0"/>
          <w:i w:val="0"/>
          <w:caps w:val="0"/>
          <w:spacing w:val="0"/>
          <w:w w:val="100"/>
          <w:kern w:val="2"/>
          <w:sz w:val="32"/>
          <w:szCs w:val="32"/>
          <w:lang w:val="en-US" w:eastAsia="zh-CN" w:bidi="ar-SA"/>
        </w:rPr>
        <w:t>指保障机构正常运转、完成日常工作任务而发生的人员支出和公用支出。</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10.项目支出：</w:t>
      </w:r>
      <w:r>
        <w:rPr>
          <w:rStyle w:val="6"/>
          <w:rFonts w:ascii="仿宋" w:hAnsi="仿宋" w:eastAsia="仿宋"/>
          <w:b w:val="0"/>
          <w:i w:val="0"/>
          <w:caps w:val="0"/>
          <w:spacing w:val="0"/>
          <w:w w:val="100"/>
          <w:kern w:val="2"/>
          <w:sz w:val="32"/>
          <w:szCs w:val="32"/>
          <w:lang w:val="en-US" w:eastAsia="zh-CN" w:bidi="ar-SA"/>
        </w:rPr>
        <w:t>指在基本支出之外为完成特定行政任务和事业发展目标所发生的支出。</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11.上缴上级支出：</w:t>
      </w:r>
      <w:r>
        <w:rPr>
          <w:rStyle w:val="6"/>
          <w:rFonts w:ascii="仿宋" w:hAnsi="仿宋" w:eastAsia="仿宋"/>
          <w:b w:val="0"/>
          <w:i w:val="0"/>
          <w:caps w:val="0"/>
          <w:spacing w:val="0"/>
          <w:w w:val="100"/>
          <w:kern w:val="2"/>
          <w:sz w:val="32"/>
          <w:szCs w:val="32"/>
          <w:lang w:val="en-US" w:eastAsia="zh-CN" w:bidi="ar-SA"/>
        </w:rPr>
        <w:t>指事业单位按照财政部门和主管部门的规定上缴上级单位的支出。</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12.经营支出：</w:t>
      </w:r>
      <w:r>
        <w:rPr>
          <w:rStyle w:val="6"/>
          <w:rFonts w:ascii="仿宋" w:hAnsi="仿宋" w:eastAsia="仿宋"/>
          <w:b w:val="0"/>
          <w:i w:val="0"/>
          <w:caps w:val="0"/>
          <w:spacing w:val="0"/>
          <w:w w:val="100"/>
          <w:kern w:val="2"/>
          <w:sz w:val="32"/>
          <w:szCs w:val="32"/>
          <w:lang w:val="en-US" w:eastAsia="zh-CN" w:bidi="ar-SA"/>
        </w:rPr>
        <w:t>指事业单位在专业活动及辅助活动之外开展非独立核算经营活动发生的支出。</w:t>
      </w:r>
    </w:p>
    <w:p>
      <w:pPr>
        <w:snapToGrid/>
        <w:spacing w:before="0" w:beforeAutospacing="0" w:after="0" w:afterAutospacing="0" w:line="540" w:lineRule="exact"/>
        <w:ind w:firstLine="643" w:firstLineChars="200"/>
        <w:jc w:val="left"/>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13.对附属单位补助支出：</w:t>
      </w:r>
      <w:r>
        <w:rPr>
          <w:rStyle w:val="6"/>
          <w:rFonts w:ascii="仿宋" w:hAnsi="仿宋" w:eastAsia="仿宋"/>
          <w:b w:val="0"/>
          <w:i w:val="0"/>
          <w:caps w:val="0"/>
          <w:spacing w:val="0"/>
          <w:w w:val="100"/>
          <w:kern w:val="2"/>
          <w:sz w:val="32"/>
          <w:szCs w:val="32"/>
          <w:lang w:val="en-US" w:eastAsia="zh-CN" w:bidi="ar-SA"/>
        </w:rPr>
        <w:t>指事业单位用财政补助收入之外的收入对附属单位补助发生的支出。</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14.“三公”经费：</w:t>
      </w:r>
      <w:r>
        <w:rPr>
          <w:rStyle w:val="6"/>
          <w:rFonts w:ascii="仿宋" w:hAnsi="仿宋" w:eastAsia="仿宋"/>
          <w:b w:val="0"/>
          <w:i w:val="0"/>
          <w:caps w:val="0"/>
          <w:spacing w:val="0"/>
          <w:w w:val="100"/>
          <w:kern w:val="2"/>
          <w:sz w:val="32"/>
          <w:szCs w:val="32"/>
          <w:lang w:val="en-US" w:eastAsia="zh-CN" w:bidi="ar-SA"/>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napToGrid/>
        <w:spacing w:before="0" w:beforeAutospacing="0" w:after="0" w:afterAutospacing="0" w:line="540" w:lineRule="exact"/>
        <w:ind w:firstLine="643" w:firstLineChars="200"/>
        <w:jc w:val="left"/>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15.一般公共服务（类）财政事务（款）行政运行（项）：</w:t>
      </w:r>
      <w:r>
        <w:rPr>
          <w:rStyle w:val="6"/>
          <w:rFonts w:ascii="仿宋" w:hAnsi="仿宋" w:eastAsia="仿宋"/>
          <w:b w:val="0"/>
          <w:i w:val="0"/>
          <w:caps w:val="0"/>
          <w:spacing w:val="0"/>
          <w:w w:val="100"/>
          <w:kern w:val="2"/>
          <w:sz w:val="32"/>
          <w:szCs w:val="32"/>
          <w:lang w:val="en-US" w:eastAsia="zh-CN" w:bidi="ar-SA"/>
        </w:rPr>
        <w:t>反映行政单位（包括实行公务员管理的事业单位）的基本支出。</w:t>
      </w:r>
    </w:p>
    <w:p>
      <w:pPr>
        <w:snapToGrid/>
        <w:spacing w:before="0" w:beforeAutospacing="0" w:after="0" w:afterAutospacing="0" w:line="540" w:lineRule="exact"/>
        <w:ind w:firstLine="643" w:firstLineChars="200"/>
        <w:jc w:val="left"/>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16.一般公共服务（类）财政事务（款）一般行政管理事务（项）：</w:t>
      </w:r>
      <w:r>
        <w:rPr>
          <w:rStyle w:val="6"/>
          <w:rFonts w:ascii="仿宋" w:hAnsi="仿宋" w:eastAsia="仿宋"/>
          <w:b w:val="0"/>
          <w:i w:val="0"/>
          <w:caps w:val="0"/>
          <w:spacing w:val="0"/>
          <w:w w:val="100"/>
          <w:kern w:val="2"/>
          <w:sz w:val="32"/>
          <w:szCs w:val="32"/>
          <w:lang w:val="en-US" w:eastAsia="zh-CN" w:bidi="ar-SA"/>
        </w:rPr>
        <w:t>反映行政单位（包括实行公务员管理的事业单位）未单独设置项级科目的其他项目支出。</w:t>
      </w:r>
    </w:p>
    <w:p>
      <w:pPr>
        <w:snapToGrid/>
        <w:spacing w:before="0" w:beforeAutospacing="0" w:after="0" w:afterAutospacing="0" w:line="540" w:lineRule="exact"/>
        <w:ind w:firstLine="643" w:firstLineChars="200"/>
        <w:jc w:val="left"/>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17.一般公共服务（类）财政事务（款）预算改革业务（项）：</w:t>
      </w:r>
      <w:r>
        <w:rPr>
          <w:rStyle w:val="6"/>
          <w:rFonts w:ascii="仿宋" w:hAnsi="仿宋" w:eastAsia="仿宋"/>
          <w:b w:val="0"/>
          <w:i w:val="0"/>
          <w:caps w:val="0"/>
          <w:spacing w:val="0"/>
          <w:w w:val="100"/>
          <w:kern w:val="2"/>
          <w:sz w:val="32"/>
          <w:szCs w:val="32"/>
          <w:lang w:val="en-US" w:eastAsia="zh-CN" w:bidi="ar-SA"/>
        </w:rPr>
        <w:t>反映财政部门用于预算改革方面的支出。</w:t>
      </w:r>
    </w:p>
    <w:p>
      <w:pPr>
        <w:snapToGrid/>
        <w:spacing w:before="0" w:beforeAutospacing="0" w:after="0" w:afterAutospacing="0" w:line="540" w:lineRule="exact"/>
        <w:ind w:firstLine="643" w:firstLineChars="200"/>
        <w:jc w:val="left"/>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18.一般公共服务（类）财政事务（款）财政国库业务（项）：</w:t>
      </w:r>
      <w:r>
        <w:rPr>
          <w:rStyle w:val="6"/>
          <w:rFonts w:ascii="仿宋" w:hAnsi="仿宋" w:eastAsia="仿宋"/>
          <w:b w:val="0"/>
          <w:i w:val="0"/>
          <w:caps w:val="0"/>
          <w:spacing w:val="0"/>
          <w:w w:val="100"/>
          <w:kern w:val="2"/>
          <w:sz w:val="32"/>
          <w:szCs w:val="32"/>
          <w:lang w:val="en-US" w:eastAsia="zh-CN" w:bidi="ar-SA"/>
        </w:rPr>
        <w:t>反映财政部门用于财政国库集中收付业务方面的支出。</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19.一般公共服务（类）财政事务（款）信息化建设支出（项）：</w:t>
      </w:r>
      <w:r>
        <w:rPr>
          <w:rStyle w:val="6"/>
          <w:rFonts w:ascii="仿宋" w:hAnsi="仿宋" w:eastAsia="仿宋"/>
          <w:b w:val="0"/>
          <w:i w:val="0"/>
          <w:caps w:val="0"/>
          <w:spacing w:val="0"/>
          <w:w w:val="100"/>
          <w:kern w:val="2"/>
          <w:sz w:val="32"/>
          <w:szCs w:val="32"/>
          <w:lang w:val="en-US" w:eastAsia="zh-CN" w:bidi="ar-SA"/>
        </w:rPr>
        <w:t>反映财政部门用于“金财工程”等信息化建设方面的支出。</w:t>
      </w:r>
    </w:p>
    <w:p>
      <w:pPr>
        <w:snapToGrid/>
        <w:spacing w:before="0" w:beforeAutospacing="0" w:after="0" w:afterAutospacing="0" w:line="540" w:lineRule="exact"/>
        <w:ind w:firstLine="643" w:firstLineChars="200"/>
        <w:jc w:val="left"/>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20.一般公共服务（类）财政事务（款）事业运行（项）：</w:t>
      </w:r>
      <w:r>
        <w:rPr>
          <w:rStyle w:val="6"/>
          <w:rFonts w:ascii="仿宋" w:hAnsi="仿宋" w:eastAsia="仿宋"/>
          <w:b w:val="0"/>
          <w:i w:val="0"/>
          <w:caps w:val="0"/>
          <w:spacing w:val="0"/>
          <w:w w:val="100"/>
          <w:kern w:val="2"/>
          <w:sz w:val="32"/>
          <w:szCs w:val="32"/>
          <w:lang w:val="en-US" w:eastAsia="zh-CN" w:bidi="ar-SA"/>
        </w:rPr>
        <w:t>反映事业单位的基本支出，不包括行政单位（包括实行公务员管理的事业单位）后勤服务中心、医务室等附属事业单位。</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21.一般公共服务（类）财政事务（款）其他财政事务支出（项）：</w:t>
      </w:r>
      <w:r>
        <w:rPr>
          <w:rStyle w:val="6"/>
          <w:rFonts w:ascii="仿宋" w:hAnsi="仿宋" w:eastAsia="仿宋"/>
          <w:b w:val="0"/>
          <w:i w:val="0"/>
          <w:caps w:val="0"/>
          <w:spacing w:val="0"/>
          <w:w w:val="100"/>
          <w:kern w:val="2"/>
          <w:sz w:val="32"/>
          <w:szCs w:val="32"/>
          <w:lang w:val="en-US" w:eastAsia="zh-CN" w:bidi="ar-SA"/>
        </w:rPr>
        <w:t>反映除上述项目以外其他财政事务方面的支出。</w:t>
      </w:r>
    </w:p>
    <w:p>
      <w:pPr>
        <w:snapToGrid/>
        <w:spacing w:before="0" w:beforeAutospacing="0" w:after="0" w:afterAutospacing="0" w:line="540" w:lineRule="exact"/>
        <w:ind w:firstLine="643" w:firstLineChars="200"/>
        <w:jc w:val="left"/>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22.社会保障和就业（类）行政事业单位离退休（款）归口管理的行政单位离退休（项）：</w:t>
      </w:r>
      <w:r>
        <w:rPr>
          <w:rStyle w:val="6"/>
          <w:rFonts w:ascii="仿宋" w:hAnsi="仿宋" w:eastAsia="仿宋"/>
          <w:b w:val="0"/>
          <w:i w:val="0"/>
          <w:caps w:val="0"/>
          <w:spacing w:val="0"/>
          <w:w w:val="100"/>
          <w:kern w:val="2"/>
          <w:sz w:val="32"/>
          <w:szCs w:val="32"/>
          <w:lang w:val="en-US" w:eastAsia="zh-CN" w:bidi="ar-SA"/>
        </w:rPr>
        <w:t>反映实行归口管理的行政单位（包括实行公务员管理的事业单位）开支的离退休经费。</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23.社会保障和就业（类）行政事业单位离退休（款）事业单位离退休（项）：</w:t>
      </w:r>
      <w:r>
        <w:rPr>
          <w:rStyle w:val="6"/>
          <w:rFonts w:ascii="仿宋" w:hAnsi="仿宋" w:eastAsia="仿宋"/>
          <w:b w:val="0"/>
          <w:i w:val="0"/>
          <w:caps w:val="0"/>
          <w:spacing w:val="0"/>
          <w:w w:val="100"/>
          <w:kern w:val="2"/>
          <w:sz w:val="32"/>
          <w:szCs w:val="32"/>
          <w:lang w:val="en-US" w:eastAsia="zh-CN" w:bidi="ar-SA"/>
        </w:rPr>
        <w:t>反映实行归口管理的事业单位开支的离退休经费。</w:t>
      </w:r>
    </w:p>
    <w:p>
      <w:pPr>
        <w:snapToGrid/>
        <w:spacing w:before="0" w:beforeAutospacing="0" w:after="0" w:afterAutospacing="0" w:line="540" w:lineRule="exact"/>
        <w:ind w:firstLine="643" w:firstLineChars="200"/>
        <w:jc w:val="left"/>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24.社会保障和就业（类）抚恤（款）死亡抚恤（项）：</w:t>
      </w:r>
      <w:r>
        <w:rPr>
          <w:rStyle w:val="6"/>
          <w:rFonts w:ascii="仿宋" w:hAnsi="仿宋" w:eastAsia="仿宋"/>
          <w:b w:val="0"/>
          <w:i w:val="0"/>
          <w:caps w:val="0"/>
          <w:spacing w:val="0"/>
          <w:w w:val="100"/>
          <w:kern w:val="2"/>
          <w:sz w:val="32"/>
          <w:szCs w:val="32"/>
          <w:lang w:val="en-US" w:eastAsia="zh-CN" w:bidi="ar-SA"/>
        </w:rPr>
        <w:t>反映按规定用于烈士和牺牲、病故人员家属的一次性和定期抚恤金以及丧葬补助费。</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25.社会保障和就业（类）抚恤（款）伤残抚恤（项）：</w:t>
      </w:r>
      <w:r>
        <w:rPr>
          <w:rStyle w:val="6"/>
          <w:rFonts w:ascii="仿宋" w:hAnsi="仿宋" w:eastAsia="仿宋"/>
          <w:b w:val="0"/>
          <w:i w:val="0"/>
          <w:caps w:val="0"/>
          <w:spacing w:val="0"/>
          <w:w w:val="100"/>
          <w:kern w:val="2"/>
          <w:sz w:val="32"/>
          <w:szCs w:val="32"/>
          <w:lang w:val="en-US" w:eastAsia="zh-CN" w:bidi="ar-SA"/>
        </w:rPr>
        <w:t>反映按规定用于伤残人员的抚恤金和按规定开支的各种伤残补助费。</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26.医疗卫生与计划生育（类）行政事业单位医疗（款）行政单位医疗（项）：</w:t>
      </w:r>
      <w:r>
        <w:rPr>
          <w:rStyle w:val="6"/>
          <w:rFonts w:ascii="仿宋" w:hAnsi="仿宋" w:eastAsia="仿宋"/>
          <w:b w:val="0"/>
          <w:i w:val="0"/>
          <w:caps w:val="0"/>
          <w:spacing w:val="0"/>
          <w:w w:val="100"/>
          <w:kern w:val="2"/>
          <w:sz w:val="32"/>
          <w:szCs w:val="32"/>
          <w:lang w:val="en-US" w:eastAsia="zh-CN" w:bidi="ar-SA"/>
        </w:rPr>
        <w:t>反映财政部门集中安排的行政单位基本医疗保险缴费经费，未参加医疗保险的行政单位的公费医疗经费，按国家规定享受离休人员、红军老战士待遇人员的医疗经费。</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27. 医疗卫生与计划生育（类）行政事业单位医疗（款）事业单位医疗（项）：</w:t>
      </w:r>
      <w:r>
        <w:rPr>
          <w:rStyle w:val="6"/>
          <w:rFonts w:ascii="仿宋" w:hAnsi="仿宋" w:eastAsia="仿宋"/>
          <w:b w:val="0"/>
          <w:i w:val="0"/>
          <w:caps w:val="0"/>
          <w:spacing w:val="0"/>
          <w:w w:val="100"/>
          <w:kern w:val="2"/>
          <w:sz w:val="32"/>
          <w:szCs w:val="32"/>
          <w:lang w:val="en-US" w:eastAsia="zh-CN" w:bidi="ar-SA"/>
        </w:rPr>
        <w:t>反映财政部门集中安排的事业单位基本医疗保险缴费经费，未参加医疗保险的事业单位的公费医疗经费，按国家规定享受离休人员待遇的医疗经费。</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28.节能环保支出（类）污染防治（款）水体（项）：</w:t>
      </w:r>
      <w:r>
        <w:rPr>
          <w:rStyle w:val="6"/>
          <w:rFonts w:ascii="仿宋" w:hAnsi="仿宋" w:eastAsia="仿宋"/>
          <w:b w:val="0"/>
          <w:i w:val="0"/>
          <w:caps w:val="0"/>
          <w:spacing w:val="0"/>
          <w:w w:val="100"/>
          <w:kern w:val="2"/>
          <w:sz w:val="32"/>
          <w:szCs w:val="32"/>
          <w:lang w:val="en-US" w:eastAsia="zh-CN" w:bidi="ar-SA"/>
        </w:rPr>
        <w:t>反映政府在排水、污水处理、水污染防治、湖库生态环境保护、水源地保护、国土江河综合整治、河流治理与保护、地下水修复与保护等方面的支出。</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29.农林水事务（类）农业（款）其他农业支出（项）：</w:t>
      </w:r>
      <w:r>
        <w:rPr>
          <w:rStyle w:val="6"/>
          <w:rFonts w:ascii="仿宋" w:hAnsi="仿宋" w:eastAsia="仿宋"/>
          <w:b w:val="0"/>
          <w:i w:val="0"/>
          <w:caps w:val="0"/>
          <w:spacing w:val="0"/>
          <w:w w:val="100"/>
          <w:kern w:val="2"/>
          <w:sz w:val="32"/>
          <w:szCs w:val="32"/>
          <w:lang w:val="en-US" w:eastAsia="zh-CN" w:bidi="ar-SA"/>
        </w:rPr>
        <w:t>反映其他用于农业方面的支出。</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30.交通运输（类）成品油价格改革对交通运输的补贴（款）成品油价格改革补贴其他支出（项）：</w:t>
      </w:r>
      <w:r>
        <w:rPr>
          <w:rStyle w:val="6"/>
          <w:rFonts w:ascii="仿宋" w:hAnsi="仿宋" w:eastAsia="仿宋"/>
          <w:b w:val="0"/>
          <w:i w:val="0"/>
          <w:caps w:val="0"/>
          <w:spacing w:val="0"/>
          <w:w w:val="100"/>
          <w:kern w:val="2"/>
          <w:sz w:val="32"/>
          <w:szCs w:val="32"/>
          <w:lang w:val="en-US" w:eastAsia="zh-CN" w:bidi="ar-SA"/>
        </w:rPr>
        <w:t>反映成品油价格改革财政补贴对其他方面的支出。</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31.资源勘探信息等支出（类）工业和信息产业监管（款）其他工业和信息产业监管支出（项）：</w:t>
      </w:r>
      <w:r>
        <w:rPr>
          <w:rStyle w:val="6"/>
          <w:rFonts w:ascii="仿宋" w:hAnsi="仿宋" w:eastAsia="仿宋"/>
          <w:b w:val="0"/>
          <w:i w:val="0"/>
          <w:caps w:val="0"/>
          <w:spacing w:val="0"/>
          <w:w w:val="100"/>
          <w:kern w:val="2"/>
          <w:sz w:val="32"/>
          <w:szCs w:val="32"/>
          <w:lang w:val="en-US" w:eastAsia="zh-CN" w:bidi="ar-SA"/>
        </w:rPr>
        <w:t>反映其他用于工业和信息产业监管方面的支出。</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32.援助其他地区支出（类）其他支出（款）其他（项）：</w:t>
      </w:r>
      <w:r>
        <w:rPr>
          <w:rStyle w:val="6"/>
          <w:rFonts w:ascii="仿宋" w:hAnsi="仿宋" w:eastAsia="仿宋"/>
          <w:b w:val="0"/>
          <w:i w:val="0"/>
          <w:caps w:val="0"/>
          <w:spacing w:val="0"/>
          <w:w w:val="100"/>
          <w:kern w:val="2"/>
          <w:sz w:val="32"/>
          <w:szCs w:val="32"/>
          <w:lang w:val="en-US" w:eastAsia="zh-CN" w:bidi="ar-SA"/>
        </w:rPr>
        <w:t>反映援助其他地区资金中的其他支出。</w:t>
      </w:r>
    </w:p>
    <w:p>
      <w:pPr>
        <w:snapToGrid/>
        <w:spacing w:before="0" w:beforeAutospacing="0" w:after="0" w:afterAutospacing="0" w:line="540" w:lineRule="exact"/>
        <w:ind w:firstLine="643" w:firstLineChars="200"/>
        <w:jc w:val="left"/>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33. 国土海洋气象等支出（类）国土资源事务（款）其他国土资源事务支出（项）：</w:t>
      </w:r>
      <w:r>
        <w:rPr>
          <w:rStyle w:val="6"/>
          <w:rFonts w:ascii="仿宋" w:hAnsi="仿宋" w:eastAsia="仿宋"/>
          <w:b w:val="0"/>
          <w:i w:val="0"/>
          <w:caps w:val="0"/>
          <w:spacing w:val="0"/>
          <w:w w:val="100"/>
          <w:kern w:val="2"/>
          <w:sz w:val="32"/>
          <w:szCs w:val="32"/>
          <w:lang w:val="en-US" w:eastAsia="zh-CN" w:bidi="ar-SA"/>
        </w:rPr>
        <w:t>反映其他用于国土资源事务方面的支出。</w:t>
      </w:r>
    </w:p>
    <w:p>
      <w:pPr>
        <w:snapToGrid/>
        <w:spacing w:before="0" w:beforeAutospacing="0" w:after="0" w:afterAutospacing="0" w:line="540" w:lineRule="exact"/>
        <w:ind w:firstLine="643" w:firstLineChars="200"/>
        <w:jc w:val="left"/>
        <w:textAlignment w:val="baseline"/>
        <w:rPr>
          <w:rStyle w:val="6"/>
          <w:rFonts w:ascii="仿宋" w:hAnsi="仿宋" w:eastAsia="仿宋"/>
          <w:b/>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34.住房保障（类）住房改革（款）住房公积金（项）：</w:t>
      </w:r>
      <w:r>
        <w:rPr>
          <w:rStyle w:val="6"/>
          <w:rFonts w:ascii="仿宋" w:hAnsi="仿宋" w:eastAsia="仿宋"/>
          <w:b w:val="0"/>
          <w:i w:val="0"/>
          <w:caps w:val="0"/>
          <w:spacing w:val="0"/>
          <w:w w:val="100"/>
          <w:kern w:val="2"/>
          <w:sz w:val="32"/>
          <w:szCs w:val="32"/>
          <w:lang w:val="en-US" w:eastAsia="zh-CN" w:bidi="ar-SA"/>
        </w:rPr>
        <w:t>反映行政事业单位按人力资源和社会保障部、财政部规定的基本工资和津贴补贴以及规定比例为职工缴纳的住房公积金。</w:t>
      </w:r>
    </w:p>
    <w:p>
      <w:pPr>
        <w:snapToGrid/>
        <w:spacing w:before="0" w:beforeAutospacing="0" w:after="0" w:afterAutospacing="0" w:line="540" w:lineRule="exact"/>
        <w:ind w:firstLine="643" w:firstLineChars="200"/>
        <w:jc w:val="left"/>
        <w:textAlignment w:val="baseline"/>
        <w:rPr>
          <w:rStyle w:val="6"/>
          <w:rFonts w:ascii="Times New Roman" w:hAnsi="Times New Roman" w:eastAsia="宋体"/>
          <w:b w:val="0"/>
          <w:i w:val="0"/>
          <w:caps w:val="0"/>
          <w:spacing w:val="0"/>
          <w:w w:val="100"/>
          <w:kern w:val="2"/>
          <w:sz w:val="32"/>
          <w:szCs w:val="32"/>
          <w:lang w:val="en-US" w:eastAsia="zh-CN" w:bidi="ar-SA"/>
        </w:rPr>
      </w:pPr>
      <w:r>
        <w:rPr>
          <w:rStyle w:val="6"/>
          <w:rFonts w:ascii="仿宋" w:hAnsi="仿宋" w:eastAsia="仿宋"/>
          <w:b/>
          <w:i w:val="0"/>
          <w:caps w:val="0"/>
          <w:spacing w:val="0"/>
          <w:w w:val="100"/>
          <w:kern w:val="2"/>
          <w:sz w:val="32"/>
          <w:szCs w:val="32"/>
          <w:lang w:val="en-US" w:eastAsia="zh-CN" w:bidi="ar-SA"/>
        </w:rPr>
        <w:t>35.机关运行经费：</w:t>
      </w:r>
      <w:r>
        <w:rPr>
          <w:rStyle w:val="6"/>
          <w:rFonts w:ascii="仿宋" w:hAnsi="仿宋" w:eastAsia="仿宋"/>
          <w:b w:val="0"/>
          <w:i w:val="0"/>
          <w:caps w:val="0"/>
          <w:spacing w:val="0"/>
          <w:w w:val="100"/>
          <w:kern w:val="2"/>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w:t>
      </w:r>
      <w:r>
        <w:rPr>
          <w:rStyle w:val="6"/>
          <w:rFonts w:ascii="仿宋_GB2312" w:eastAsia="仿宋_GB2312"/>
          <w:b w:val="0"/>
          <w:i w:val="0"/>
          <w:caps w:val="0"/>
          <w:spacing w:val="0"/>
          <w:w w:val="100"/>
          <w:kern w:val="2"/>
          <w:sz w:val="32"/>
          <w:szCs w:val="32"/>
          <w:lang w:val="en-US" w:eastAsia="zh-CN" w:bidi="ar-SA"/>
        </w:rPr>
        <w:t>费用。</w:t>
      </w:r>
    </w:p>
    <w:sectPr>
      <w:footerReference r:id="rId3" w:type="default"/>
      <w:footerReference r:id="rId4" w:type="even"/>
      <w:pgSz w:w="11906" w:h="16838"/>
      <w:pgMar w:top="1440" w:right="1588" w:bottom="1440" w:left="1588" w:header="851" w:footer="992" w:gutter="0"/>
      <w:paperSrc/>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Align="inline"/>
      <w:widowControl/>
      <w:snapToGrid w:val="0"/>
      <w:jc w:val="left"/>
      <w:textAlignment w:val="baseline"/>
      <w:rPr>
        <w:rStyle w:val="11"/>
        <w:kern w:val="2"/>
        <w:sz w:val="18"/>
        <w:szCs w:val="18"/>
        <w:lang w:val="en-US" w:eastAsia="zh-CN" w:bidi="ar-SA"/>
      </w:rPr>
    </w:pPr>
  </w:p>
  <w:p>
    <w:pPr>
      <w:pStyle w:val="2"/>
      <w:widowControl/>
      <w:snapToGrid w:val="0"/>
      <w:jc w:val="left"/>
      <w:textAlignment w:val="baseline"/>
      <w:rPr>
        <w:rStyle w:val="6"/>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Align="inline"/>
      <w:widowControl/>
      <w:snapToGrid w:val="0"/>
      <w:jc w:val="left"/>
      <w:textAlignment w:val="baseline"/>
      <w:rPr>
        <w:rStyle w:val="11"/>
        <w:kern w:val="2"/>
        <w:sz w:val="18"/>
        <w:szCs w:val="18"/>
        <w:lang w:val="en-US" w:eastAsia="zh-CN" w:bidi="ar-SA"/>
      </w:rPr>
    </w:pPr>
  </w:p>
  <w:p>
    <w:pPr>
      <w:pStyle w:val="2"/>
      <w:widowControl/>
      <w:snapToGrid w:val="0"/>
      <w:jc w:val="left"/>
      <w:textAlignment w:val="baseline"/>
      <w:rPr>
        <w:rStyle w:val="6"/>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FB7D2D"/>
    <w:multiLevelType w:val="singleLevel"/>
    <w:tmpl w:val="B4FB7D2D"/>
    <w:lvl w:ilvl="0" w:tentative="0">
      <w:start w:val="3"/>
      <w:numFmt w:val="chineseCounting"/>
      <w:suff w:val="space"/>
      <w:lvlText w:val="第%1部分"/>
      <w:lvlJc w:val="left"/>
      <w:pPr>
        <w:widowControl/>
        <w:textAlignment w:val="baseline"/>
      </w:pPr>
      <w:rPr>
        <w:rStyle w:val="6"/>
      </w:rPr>
    </w:lvl>
  </w:abstractNum>
  <w:abstractNum w:abstractNumId="1">
    <w:nsid w:val="730B37B3"/>
    <w:multiLevelType w:val="multilevel"/>
    <w:tmpl w:val="730B37B3"/>
    <w:lvl w:ilvl="0" w:tentative="0">
      <w:start w:val="1"/>
      <w:numFmt w:val="japaneseCounting"/>
      <w:lvlText w:val="%1、"/>
      <w:lvlJc w:val="left"/>
      <w:pPr>
        <w:widowControl/>
        <w:tabs>
          <w:tab w:val="left" w:pos="720"/>
        </w:tabs>
        <w:ind w:left="720" w:hanging="720"/>
        <w:textAlignment w:val="baseline"/>
      </w:pPr>
      <w:rPr>
        <w:rStyle w:val="6"/>
      </w:rPr>
    </w:lvl>
    <w:lvl w:ilvl="1" w:tentative="0">
      <w:start w:val="2"/>
      <w:numFmt w:val="japaneseCounting"/>
      <w:lvlText w:val="%1、"/>
      <w:lvlJc w:val="left"/>
      <w:pPr>
        <w:widowControl/>
        <w:tabs>
          <w:tab w:val="left" w:pos="1140"/>
        </w:tabs>
        <w:ind w:left="1140" w:hanging="720"/>
        <w:textAlignment w:val="baseline"/>
      </w:pPr>
      <w:rPr>
        <w:rStyle w:val="6"/>
      </w:rPr>
    </w:lvl>
    <w:lvl w:ilvl="2" w:tentative="0">
      <w:start w:val="1"/>
      <w:numFmt w:val="lowerRoman"/>
      <w:lvlText w:val="%1."/>
      <w:lvlJc w:val="right"/>
      <w:pPr>
        <w:widowControl/>
        <w:tabs>
          <w:tab w:val="left" w:pos="1260"/>
        </w:tabs>
        <w:ind w:left="1260" w:hanging="420"/>
        <w:textAlignment w:val="baseline"/>
      </w:pPr>
      <w:rPr>
        <w:rStyle w:val="6"/>
      </w:rPr>
    </w:lvl>
    <w:lvl w:ilvl="3" w:tentative="0">
      <w:start w:val="1"/>
      <w:numFmt w:val="decimal"/>
      <w:lvlText w:val="%1."/>
      <w:lvlJc w:val="left"/>
      <w:pPr>
        <w:widowControl/>
        <w:tabs>
          <w:tab w:val="left" w:pos="1680"/>
        </w:tabs>
        <w:ind w:left="1680" w:hanging="420"/>
        <w:textAlignment w:val="baseline"/>
      </w:pPr>
      <w:rPr>
        <w:rStyle w:val="6"/>
      </w:rPr>
    </w:lvl>
    <w:lvl w:ilvl="4" w:tentative="0">
      <w:start w:val="1"/>
      <w:numFmt w:val="lowerLetter"/>
      <w:lvlText w:val="%1)"/>
      <w:lvlJc w:val="left"/>
      <w:pPr>
        <w:widowControl/>
        <w:tabs>
          <w:tab w:val="left" w:pos="2100"/>
        </w:tabs>
        <w:ind w:left="2100" w:hanging="420"/>
        <w:textAlignment w:val="baseline"/>
      </w:pPr>
      <w:rPr>
        <w:rStyle w:val="6"/>
      </w:rPr>
    </w:lvl>
    <w:lvl w:ilvl="5" w:tentative="0">
      <w:start w:val="1"/>
      <w:numFmt w:val="lowerRoman"/>
      <w:lvlText w:val="%1."/>
      <w:lvlJc w:val="right"/>
      <w:pPr>
        <w:widowControl/>
        <w:tabs>
          <w:tab w:val="left" w:pos="2520"/>
        </w:tabs>
        <w:ind w:left="2520" w:hanging="420"/>
        <w:textAlignment w:val="baseline"/>
      </w:pPr>
      <w:rPr>
        <w:rStyle w:val="6"/>
      </w:rPr>
    </w:lvl>
    <w:lvl w:ilvl="6" w:tentative="0">
      <w:start w:val="1"/>
      <w:numFmt w:val="decimal"/>
      <w:lvlText w:val="%1."/>
      <w:lvlJc w:val="left"/>
      <w:pPr>
        <w:widowControl/>
        <w:tabs>
          <w:tab w:val="left" w:pos="2940"/>
        </w:tabs>
        <w:ind w:left="2940" w:hanging="420"/>
        <w:textAlignment w:val="baseline"/>
      </w:pPr>
      <w:rPr>
        <w:rStyle w:val="6"/>
      </w:rPr>
    </w:lvl>
    <w:lvl w:ilvl="7" w:tentative="0">
      <w:start w:val="1"/>
      <w:numFmt w:val="lowerLetter"/>
      <w:lvlText w:val="%1)"/>
      <w:lvlJc w:val="left"/>
      <w:pPr>
        <w:widowControl/>
        <w:tabs>
          <w:tab w:val="left" w:pos="3360"/>
        </w:tabs>
        <w:ind w:left="3360" w:hanging="420"/>
        <w:textAlignment w:val="baseline"/>
      </w:pPr>
      <w:rPr>
        <w:rStyle w:val="6"/>
      </w:rPr>
    </w:lvl>
    <w:lvl w:ilvl="8" w:tentative="0">
      <w:start w:val="1"/>
      <w:numFmt w:val="lowerRoman"/>
      <w:lvlText w:val="%1."/>
      <w:lvlJc w:val="right"/>
      <w:pPr>
        <w:widowControl/>
        <w:tabs>
          <w:tab w:val="left" w:pos="3780"/>
        </w:tabs>
        <w:ind w:left="3780" w:hanging="420"/>
        <w:textAlignment w:val="baseline"/>
      </w:pPr>
      <w:rPr>
        <w:rStyle w:val="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60A05A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jc w:val="both"/>
      <w:textAlignment w:val="baseline"/>
    </w:pPr>
    <w:rPr>
      <w:rFonts w:ascii="Times New Roman" w:hAnsi="Times New Roman" w:eastAsia="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10"/>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6">
    <w:name w:val="NormalCharacter"/>
    <w:link w:val="1"/>
    <w:semiHidden/>
    <w:uiPriority w:val="0"/>
  </w:style>
  <w:style w:type="table" w:customStyle="1" w:styleId="7">
    <w:name w:val="TableNormal"/>
    <w:semiHidden/>
    <w:uiPriority w:val="0"/>
  </w:style>
  <w:style w:type="paragraph" w:customStyle="1" w:styleId="8">
    <w:name w:val="Acetate"/>
    <w:basedOn w:val="1"/>
    <w:link w:val="9"/>
    <w:qFormat/>
    <w:uiPriority w:val="0"/>
    <w:pPr>
      <w:jc w:val="both"/>
      <w:textAlignment w:val="baseline"/>
    </w:pPr>
    <w:rPr>
      <w:kern w:val="2"/>
      <w:sz w:val="18"/>
      <w:szCs w:val="18"/>
      <w:lang w:val="en-US" w:eastAsia="zh-CN" w:bidi="ar-SA"/>
    </w:rPr>
  </w:style>
  <w:style w:type="character" w:customStyle="1" w:styleId="9">
    <w:name w:val="UserStyle_0"/>
    <w:link w:val="8"/>
    <w:qFormat/>
    <w:uiPriority w:val="0"/>
    <w:rPr>
      <w:kern w:val="2"/>
      <w:sz w:val="18"/>
      <w:szCs w:val="18"/>
    </w:rPr>
  </w:style>
  <w:style w:type="character" w:customStyle="1" w:styleId="10">
    <w:name w:val="UserStyle_1"/>
    <w:link w:val="3"/>
    <w:uiPriority w:val="0"/>
    <w:rPr>
      <w:kern w:val="2"/>
      <w:sz w:val="18"/>
      <w:szCs w:val="18"/>
    </w:rPr>
  </w:style>
  <w:style w:type="character" w:customStyle="1" w:styleId="11">
    <w:name w:val="PageNumber"/>
    <w:basedOn w:val="6"/>
    <w:link w:val="1"/>
    <w:qFormat/>
    <w:uiPriority w:val="0"/>
  </w:style>
  <w:style w:type="paragraph" w:customStyle="1" w:styleId="12">
    <w:name w:val="UserStyle_2"/>
    <w:basedOn w:val="1"/>
    <w:qFormat/>
    <w:uiPriority w:val="0"/>
    <w:pPr>
      <w:widowControl/>
      <w:jc w:val="left"/>
      <w:textAlignment w:val="baseline"/>
    </w:pPr>
    <w:rPr>
      <w:rFonts w:ascii="Verdana" w:hAnsi="Verdana" w:eastAsia="仿宋_GB2312"/>
      <w:kern w:val="0"/>
      <w:sz w:val="28"/>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Office_11.1.0.9208_F1E327BC-269C-435d-A152-05C5408002CA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2021-05-29T00:07:52Z</dcterms:created>
  <dc:creator>h</dc:creator>
  <cp:lastModifiedBy>h</cp:lastModifiedBy>
  <dcterms:modified xsi:type="dcterms:W3CDTF">2021-05-29T00:08:35Z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