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年5月2日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8B54EBF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8316A2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2021-05-06T00:47:34Z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48649F2EB4534ED5BB8697A697175A04</vt:lpwstr>
  </property>
</Properties>
</file>