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hd w:val="clear" w:color="auto" w:fill="FFFFFF"/>
        <w:jc w:val="center"/>
        <w:rPr>
          <w:rFonts w:ascii="微软雅黑" w:hAnsi="微软雅黑" w:eastAsia="微软雅黑" w:cs="宋体"/>
          <w:color w:val="000000"/>
          <w:kern w:val="0"/>
          <w:sz w:val="44"/>
          <w:szCs w:val="44"/>
        </w:rPr>
      </w:pPr>
    </w:p>
    <w:p>
      <w:pPr>
        <w:widowControl/>
        <w:shd w:val="clear" w:color="auto" w:fill="FFFFFF"/>
        <w:jc w:val="center"/>
        <w:rPr>
          <w:rFonts w:ascii="微软雅黑" w:hAnsi="微软雅黑" w:eastAsia="微软雅黑" w:cs="宋体"/>
          <w:color w:val="000000"/>
          <w:kern w:val="0"/>
          <w:sz w:val="44"/>
          <w:szCs w:val="44"/>
        </w:rPr>
      </w:pPr>
    </w:p>
    <w:p>
      <w:pPr>
        <w:widowControl/>
        <w:shd w:val="clear" w:color="auto" w:fill="FFFFFF"/>
        <w:jc w:val="center"/>
        <w:rPr>
          <w:rFonts w:ascii="微软雅黑" w:hAnsi="微软雅黑" w:eastAsia="微软雅黑" w:cs="宋体"/>
          <w:color w:val="000000"/>
          <w:kern w:val="0"/>
          <w:sz w:val="44"/>
          <w:szCs w:val="44"/>
        </w:rPr>
      </w:pPr>
      <w:r>
        <w:rPr>
          <w:rFonts w:hint="eastAsia" w:ascii="微软雅黑" w:hAnsi="微软雅黑" w:eastAsia="微软雅黑" w:cs="宋体"/>
          <w:color w:val="000000"/>
          <w:kern w:val="0"/>
          <w:sz w:val="44"/>
          <w:szCs w:val="44"/>
        </w:rPr>
        <w:t>盘山县网格管理服务中心</w:t>
      </w:r>
    </w:p>
    <w:p>
      <w:pPr>
        <w:widowControl/>
        <w:shd w:val="clear" w:color="auto" w:fill="FFFFFF"/>
        <w:jc w:val="center"/>
        <w:rPr>
          <w:rFonts w:ascii="微软雅黑" w:hAnsi="微软雅黑" w:eastAsia="微软雅黑" w:cs="宋体"/>
          <w:color w:val="000000"/>
          <w:kern w:val="0"/>
          <w:sz w:val="44"/>
          <w:szCs w:val="44"/>
        </w:rPr>
      </w:pPr>
      <w:r>
        <w:rPr>
          <w:rFonts w:hint="eastAsia" w:ascii="微软雅黑" w:hAnsi="微软雅黑" w:eastAsia="微软雅黑" w:cs="宋体"/>
          <w:color w:val="000000"/>
          <w:kern w:val="0"/>
          <w:sz w:val="44"/>
          <w:szCs w:val="44"/>
        </w:rPr>
        <w:t>2021年度部门预算公开说明</w:t>
      </w:r>
    </w:p>
    <w:p>
      <w:pPr>
        <w:widowControl/>
        <w:shd w:val="clear" w:color="auto" w:fill="FFFFFF"/>
        <w:jc w:val="center"/>
        <w:rPr>
          <w:rFonts w:ascii="微软雅黑" w:hAnsi="微软雅黑" w:eastAsia="微软雅黑" w:cs="宋体"/>
          <w:color w:val="000000"/>
          <w:kern w:val="0"/>
          <w:sz w:val="44"/>
          <w:szCs w:val="44"/>
        </w:rPr>
      </w:pPr>
    </w:p>
    <w:p>
      <w:pPr>
        <w:widowControl/>
        <w:shd w:val="clear" w:color="auto" w:fill="FFFFFF"/>
        <w:jc w:val="center"/>
        <w:rPr>
          <w:rFonts w:ascii="微软雅黑" w:hAnsi="微软雅黑" w:eastAsia="微软雅黑" w:cs="宋体"/>
          <w:color w:val="000000"/>
          <w:kern w:val="0"/>
          <w:sz w:val="44"/>
          <w:szCs w:val="44"/>
        </w:rPr>
      </w:pPr>
    </w:p>
    <w:p>
      <w:pPr>
        <w:widowControl/>
        <w:shd w:val="clear" w:color="auto" w:fill="FFFFFF"/>
        <w:jc w:val="center"/>
        <w:rPr>
          <w:rFonts w:ascii="微软雅黑" w:hAnsi="微软雅黑" w:eastAsia="微软雅黑" w:cs="宋体"/>
          <w:color w:val="000000"/>
          <w:kern w:val="0"/>
          <w:sz w:val="44"/>
          <w:szCs w:val="44"/>
        </w:rPr>
      </w:pPr>
    </w:p>
    <w:p>
      <w:pPr>
        <w:widowControl/>
        <w:shd w:val="clear" w:color="auto" w:fill="FFFFFF"/>
        <w:jc w:val="center"/>
        <w:rPr>
          <w:rFonts w:ascii="微软雅黑" w:hAnsi="微软雅黑" w:eastAsia="微软雅黑" w:cs="宋体"/>
          <w:color w:val="000000"/>
          <w:kern w:val="0"/>
          <w:sz w:val="44"/>
          <w:szCs w:val="44"/>
        </w:rPr>
      </w:pPr>
    </w:p>
    <w:p>
      <w:pPr>
        <w:widowControl/>
        <w:shd w:val="clear" w:color="auto" w:fill="FFFFFF"/>
        <w:jc w:val="center"/>
        <w:rPr>
          <w:rFonts w:ascii="微软雅黑" w:hAnsi="微软雅黑" w:eastAsia="微软雅黑" w:cs="宋体"/>
          <w:color w:val="000000"/>
          <w:kern w:val="0"/>
          <w:sz w:val="44"/>
          <w:szCs w:val="44"/>
        </w:rPr>
      </w:pPr>
    </w:p>
    <w:p>
      <w:pPr>
        <w:widowControl/>
        <w:shd w:val="clear" w:color="auto" w:fill="FFFFFF"/>
        <w:jc w:val="center"/>
        <w:rPr>
          <w:rFonts w:ascii="微软雅黑" w:hAnsi="微软雅黑" w:eastAsia="微软雅黑" w:cs="宋体"/>
          <w:color w:val="000000"/>
          <w:kern w:val="0"/>
          <w:sz w:val="44"/>
          <w:szCs w:val="44"/>
        </w:rPr>
      </w:pPr>
    </w:p>
    <w:p>
      <w:pPr>
        <w:widowControl/>
        <w:shd w:val="clear" w:color="auto" w:fill="FFFFFF"/>
        <w:jc w:val="center"/>
        <w:rPr>
          <w:rFonts w:ascii="微软雅黑" w:hAnsi="微软雅黑" w:eastAsia="微软雅黑" w:cs="宋体"/>
          <w:color w:val="000000"/>
          <w:kern w:val="0"/>
          <w:sz w:val="44"/>
          <w:szCs w:val="44"/>
        </w:rPr>
      </w:pPr>
    </w:p>
    <w:p>
      <w:pPr>
        <w:widowControl/>
        <w:shd w:val="clear" w:color="auto" w:fill="FFFFFF"/>
        <w:jc w:val="center"/>
        <w:rPr>
          <w:rFonts w:ascii="微软雅黑" w:hAnsi="微软雅黑" w:eastAsia="微软雅黑" w:cs="宋体"/>
          <w:color w:val="000000"/>
          <w:kern w:val="0"/>
          <w:sz w:val="44"/>
          <w:szCs w:val="44"/>
        </w:rPr>
      </w:pPr>
    </w:p>
    <w:p>
      <w:pPr>
        <w:widowControl/>
        <w:shd w:val="clear" w:color="auto" w:fill="FFFFFF"/>
        <w:jc w:val="center"/>
        <w:rPr>
          <w:rFonts w:ascii="微软雅黑" w:hAnsi="微软雅黑" w:eastAsia="微软雅黑" w:cs="宋体"/>
          <w:color w:val="000000"/>
          <w:kern w:val="0"/>
          <w:sz w:val="44"/>
          <w:szCs w:val="44"/>
        </w:rPr>
      </w:pPr>
    </w:p>
    <w:p>
      <w:pPr>
        <w:widowControl/>
        <w:shd w:val="clear" w:color="auto" w:fill="FFFFFF"/>
        <w:jc w:val="center"/>
        <w:rPr>
          <w:rFonts w:ascii="微软雅黑" w:hAnsi="微软雅黑" w:eastAsia="微软雅黑" w:cs="宋体"/>
          <w:color w:val="000000"/>
          <w:kern w:val="0"/>
          <w:sz w:val="44"/>
          <w:szCs w:val="44"/>
        </w:rPr>
      </w:pPr>
    </w:p>
    <w:p>
      <w:pPr>
        <w:widowControl/>
        <w:shd w:val="clear" w:color="auto" w:fill="FFFFFF"/>
        <w:jc w:val="center"/>
        <w:rPr>
          <w:rFonts w:ascii="微软雅黑" w:hAnsi="微软雅黑" w:eastAsia="微软雅黑" w:cs="宋体"/>
          <w:color w:val="000000"/>
          <w:kern w:val="0"/>
          <w:sz w:val="44"/>
          <w:szCs w:val="44"/>
        </w:rPr>
      </w:pPr>
    </w:p>
    <w:p>
      <w:pPr>
        <w:widowControl/>
        <w:shd w:val="clear" w:color="auto" w:fill="FFFFFF"/>
        <w:jc w:val="center"/>
        <w:rPr>
          <w:rFonts w:ascii="微软雅黑" w:hAnsi="微软雅黑" w:eastAsia="微软雅黑" w:cs="宋体"/>
          <w:color w:val="000000"/>
          <w:kern w:val="0"/>
          <w:sz w:val="44"/>
          <w:szCs w:val="44"/>
        </w:rPr>
      </w:pPr>
      <w:r>
        <w:rPr>
          <w:rFonts w:hint="eastAsia" w:ascii="微软雅黑" w:hAnsi="微软雅黑" w:eastAsia="微软雅黑" w:cs="宋体"/>
          <w:color w:val="000000"/>
          <w:kern w:val="0"/>
          <w:sz w:val="44"/>
          <w:szCs w:val="44"/>
        </w:rPr>
        <w:t>盘山县网格管理服务中心</w:t>
      </w:r>
    </w:p>
    <w:p>
      <w:pPr>
        <w:widowControl/>
        <w:shd w:val="clear" w:color="auto" w:fill="FFFFFF"/>
        <w:jc w:val="center"/>
        <w:rPr>
          <w:rFonts w:ascii="微软雅黑" w:hAnsi="微软雅黑" w:eastAsia="微软雅黑" w:cs="宋体"/>
          <w:color w:val="000000"/>
          <w:kern w:val="0"/>
          <w:sz w:val="44"/>
          <w:szCs w:val="44"/>
        </w:rPr>
      </w:pPr>
      <w:r>
        <w:rPr>
          <w:rFonts w:hint="eastAsia" w:ascii="微软雅黑" w:hAnsi="微软雅黑" w:eastAsia="微软雅黑" w:cs="宋体"/>
          <w:color w:val="000000"/>
          <w:kern w:val="0"/>
          <w:sz w:val="44"/>
          <w:szCs w:val="44"/>
        </w:rPr>
        <w:t>2021年度部门预算公开说明</w:t>
      </w:r>
    </w:p>
    <w:p>
      <w:pPr>
        <w:spacing w:line="540" w:lineRule="exact"/>
        <w:jc w:val="center"/>
        <w:rPr>
          <w:rFonts w:ascii="宋体" w:hAnsi="宋体" w:cs="Times New Roman"/>
          <w:b/>
          <w:sz w:val="32"/>
          <w:szCs w:val="32"/>
        </w:rPr>
      </w:pPr>
      <w:r>
        <w:rPr>
          <w:rFonts w:hint="eastAsia" w:ascii="宋体" w:hAnsi="宋体" w:cs="Times New Roman"/>
          <w:b/>
          <w:sz w:val="32"/>
          <w:szCs w:val="32"/>
        </w:rPr>
        <w:t>目    录</w:t>
      </w:r>
    </w:p>
    <w:p>
      <w:pPr>
        <w:adjustRightInd w:val="0"/>
        <w:snapToGrid w:val="0"/>
        <w:spacing w:line="322" w:lineRule="auto"/>
        <w:rPr>
          <w:rFonts w:ascii="宋体" w:hAnsi="宋体" w:cs="Times New Roman"/>
          <w:sz w:val="32"/>
          <w:szCs w:val="32"/>
        </w:rPr>
      </w:pPr>
      <w:r>
        <w:rPr>
          <w:rFonts w:hint="eastAsia" w:ascii="宋体" w:hAnsi="宋体" w:cs="Times New Roman"/>
          <w:sz w:val="32"/>
          <w:szCs w:val="32"/>
        </w:rPr>
        <w:t>第一部分  盘山县网格管理服务中心部门概况</w:t>
      </w:r>
    </w:p>
    <w:p>
      <w:pPr>
        <w:adjustRightInd w:val="0"/>
        <w:snapToGrid w:val="0"/>
        <w:spacing w:line="322" w:lineRule="auto"/>
        <w:ind w:firstLine="640" w:firstLineChars="200"/>
        <w:rPr>
          <w:rFonts w:ascii="宋体" w:hAnsi="宋体" w:cs="Times New Roman"/>
          <w:sz w:val="32"/>
          <w:szCs w:val="32"/>
        </w:rPr>
      </w:pPr>
      <w:r>
        <w:rPr>
          <w:rFonts w:hint="eastAsia" w:ascii="宋体" w:hAnsi="宋体" w:cs="Times New Roman"/>
          <w:sz w:val="32"/>
          <w:szCs w:val="32"/>
        </w:rPr>
        <w:t>一、部门主要职责</w:t>
      </w:r>
    </w:p>
    <w:p>
      <w:pPr>
        <w:adjustRightInd w:val="0"/>
        <w:snapToGrid w:val="0"/>
        <w:spacing w:line="322" w:lineRule="auto"/>
        <w:ind w:firstLine="640" w:firstLineChars="200"/>
        <w:rPr>
          <w:rFonts w:ascii="宋体" w:hAnsi="宋体" w:cs="Times New Roman"/>
          <w:sz w:val="32"/>
          <w:szCs w:val="32"/>
        </w:rPr>
      </w:pPr>
      <w:r>
        <w:rPr>
          <w:rFonts w:hint="eastAsia" w:ascii="宋体" w:hAnsi="宋体" w:cs="Times New Roman"/>
          <w:sz w:val="32"/>
          <w:szCs w:val="32"/>
        </w:rPr>
        <w:t>二、机构设置情况</w:t>
      </w:r>
    </w:p>
    <w:p>
      <w:pPr>
        <w:adjustRightInd w:val="0"/>
        <w:snapToGrid w:val="0"/>
        <w:spacing w:line="322" w:lineRule="auto"/>
        <w:ind w:firstLine="640" w:firstLineChars="200"/>
        <w:rPr>
          <w:rFonts w:ascii="宋体" w:hAnsi="宋体" w:cs="Times New Roman"/>
          <w:sz w:val="32"/>
          <w:szCs w:val="32"/>
        </w:rPr>
      </w:pPr>
      <w:r>
        <w:rPr>
          <w:rFonts w:hint="eastAsia" w:ascii="宋体" w:hAnsi="宋体" w:cs="Times New Roman"/>
          <w:sz w:val="32"/>
          <w:szCs w:val="32"/>
        </w:rPr>
        <w:t>三、部门预算单位构成</w:t>
      </w:r>
    </w:p>
    <w:p>
      <w:pPr>
        <w:adjustRightInd w:val="0"/>
        <w:snapToGrid w:val="0"/>
        <w:spacing w:line="322" w:lineRule="auto"/>
        <w:rPr>
          <w:rFonts w:ascii="宋体" w:hAnsi="宋体" w:cs="Times New Roman"/>
          <w:b/>
          <w:sz w:val="32"/>
          <w:szCs w:val="32"/>
        </w:rPr>
      </w:pPr>
      <w:r>
        <w:rPr>
          <w:rFonts w:hint="eastAsia" w:ascii="宋体" w:hAnsi="宋体" w:cs="Times New Roman"/>
          <w:sz w:val="32"/>
          <w:szCs w:val="32"/>
        </w:rPr>
        <w:t>第二部分  盘山县网格管理服务中心2021年度部门预算报表</w:t>
      </w:r>
    </w:p>
    <w:p>
      <w:pPr>
        <w:adjustRightInd w:val="0"/>
        <w:snapToGrid w:val="0"/>
        <w:spacing w:line="322" w:lineRule="auto"/>
        <w:ind w:firstLine="640" w:firstLineChars="200"/>
        <w:rPr>
          <w:rFonts w:ascii="宋体" w:hAnsi="宋体" w:cs="Times New Roman"/>
          <w:sz w:val="32"/>
          <w:szCs w:val="32"/>
        </w:rPr>
      </w:pPr>
      <w:r>
        <w:rPr>
          <w:rFonts w:hint="eastAsia" w:ascii="宋体" w:hAnsi="宋体" w:cs="Times New Roman"/>
          <w:sz w:val="32"/>
          <w:szCs w:val="32"/>
        </w:rPr>
        <w:t>一、2021年度收入支出预算总表</w:t>
      </w:r>
    </w:p>
    <w:p>
      <w:pPr>
        <w:adjustRightInd w:val="0"/>
        <w:snapToGrid w:val="0"/>
        <w:spacing w:line="322" w:lineRule="auto"/>
        <w:ind w:firstLine="640" w:firstLineChars="200"/>
        <w:rPr>
          <w:rFonts w:ascii="宋体" w:hAnsi="宋体" w:cs="Times New Roman"/>
          <w:sz w:val="32"/>
          <w:szCs w:val="32"/>
        </w:rPr>
      </w:pPr>
      <w:r>
        <w:rPr>
          <w:rFonts w:hint="eastAsia" w:ascii="宋体" w:hAnsi="宋体" w:cs="Times New Roman"/>
          <w:sz w:val="32"/>
          <w:szCs w:val="32"/>
        </w:rPr>
        <w:t>二、2021年度收入预算表</w:t>
      </w:r>
    </w:p>
    <w:p>
      <w:pPr>
        <w:adjustRightInd w:val="0"/>
        <w:snapToGrid w:val="0"/>
        <w:spacing w:line="322" w:lineRule="auto"/>
        <w:ind w:firstLine="640" w:firstLineChars="200"/>
        <w:rPr>
          <w:rFonts w:ascii="宋体" w:hAnsi="宋体" w:cs="Times New Roman"/>
          <w:sz w:val="32"/>
          <w:szCs w:val="32"/>
        </w:rPr>
      </w:pPr>
      <w:r>
        <w:rPr>
          <w:rFonts w:hint="eastAsia" w:ascii="宋体" w:hAnsi="宋体" w:cs="Times New Roman"/>
          <w:sz w:val="32"/>
          <w:szCs w:val="32"/>
        </w:rPr>
        <w:t>三、2021年度支出预算表</w:t>
      </w:r>
    </w:p>
    <w:p>
      <w:pPr>
        <w:adjustRightInd w:val="0"/>
        <w:snapToGrid w:val="0"/>
        <w:spacing w:line="322" w:lineRule="auto"/>
        <w:ind w:firstLine="640" w:firstLineChars="200"/>
        <w:rPr>
          <w:rFonts w:ascii="宋体" w:hAnsi="宋体" w:cs="Times New Roman"/>
          <w:sz w:val="32"/>
          <w:szCs w:val="32"/>
        </w:rPr>
      </w:pPr>
      <w:r>
        <w:rPr>
          <w:rFonts w:hint="eastAsia" w:ascii="宋体" w:hAnsi="宋体" w:cs="Times New Roman"/>
          <w:sz w:val="32"/>
          <w:szCs w:val="32"/>
        </w:rPr>
        <w:t>四、2021年度财政拨款收入预算表</w:t>
      </w:r>
    </w:p>
    <w:p>
      <w:pPr>
        <w:adjustRightInd w:val="0"/>
        <w:snapToGrid w:val="0"/>
        <w:spacing w:line="322" w:lineRule="auto"/>
        <w:ind w:firstLine="640" w:firstLineChars="200"/>
        <w:rPr>
          <w:rFonts w:ascii="宋体" w:hAnsi="宋体" w:cs="Times New Roman"/>
          <w:sz w:val="32"/>
          <w:szCs w:val="32"/>
        </w:rPr>
      </w:pPr>
      <w:r>
        <w:rPr>
          <w:rFonts w:hint="eastAsia" w:ascii="宋体" w:hAnsi="宋体" w:cs="Times New Roman"/>
          <w:sz w:val="32"/>
          <w:szCs w:val="32"/>
        </w:rPr>
        <w:t>五、</w:t>
      </w:r>
      <w:r>
        <w:rPr>
          <w:rFonts w:ascii="宋体" w:hAnsi="宋体" w:cs="Times New Roman"/>
          <w:sz w:val="32"/>
          <w:szCs w:val="32"/>
        </w:rPr>
        <w:t>20</w:t>
      </w:r>
      <w:r>
        <w:rPr>
          <w:rFonts w:hint="eastAsia" w:ascii="宋体" w:hAnsi="宋体" w:cs="Times New Roman"/>
          <w:sz w:val="32"/>
          <w:szCs w:val="32"/>
        </w:rPr>
        <w:t>21</w:t>
      </w:r>
      <w:r>
        <w:rPr>
          <w:rFonts w:ascii="宋体" w:hAnsi="宋体" w:cs="Times New Roman"/>
          <w:sz w:val="32"/>
          <w:szCs w:val="32"/>
        </w:rPr>
        <w:t>年度</w:t>
      </w:r>
      <w:r>
        <w:rPr>
          <w:rFonts w:hint="eastAsia" w:ascii="宋体" w:hAnsi="宋体" w:cs="Times New Roman"/>
          <w:sz w:val="32"/>
          <w:szCs w:val="32"/>
        </w:rPr>
        <w:t>一般公共预算</w:t>
      </w:r>
      <w:r>
        <w:rPr>
          <w:rFonts w:ascii="宋体" w:hAnsi="宋体" w:cs="Times New Roman"/>
          <w:sz w:val="32"/>
          <w:szCs w:val="32"/>
        </w:rPr>
        <w:t>财政拨款收入支出</w:t>
      </w:r>
      <w:r>
        <w:rPr>
          <w:rFonts w:hint="eastAsia" w:ascii="宋体" w:hAnsi="宋体" w:cs="Times New Roman"/>
          <w:sz w:val="32"/>
          <w:szCs w:val="32"/>
        </w:rPr>
        <w:t>预算</w:t>
      </w:r>
      <w:r>
        <w:rPr>
          <w:rFonts w:ascii="宋体" w:hAnsi="宋体" w:cs="Times New Roman"/>
          <w:sz w:val="32"/>
          <w:szCs w:val="32"/>
        </w:rPr>
        <w:t>表</w:t>
      </w:r>
    </w:p>
    <w:p>
      <w:pPr>
        <w:adjustRightInd w:val="0"/>
        <w:snapToGrid w:val="0"/>
        <w:spacing w:line="322" w:lineRule="auto"/>
        <w:ind w:firstLine="640" w:firstLineChars="200"/>
        <w:rPr>
          <w:rFonts w:ascii="宋体" w:hAnsi="宋体" w:cs="Times New Roman"/>
          <w:sz w:val="32"/>
          <w:szCs w:val="32"/>
        </w:rPr>
      </w:pPr>
      <w:r>
        <w:rPr>
          <w:rFonts w:hint="eastAsia" w:ascii="宋体" w:hAnsi="宋体" w:cs="Times New Roman"/>
          <w:sz w:val="32"/>
          <w:szCs w:val="32"/>
        </w:rPr>
        <w:t>六、</w:t>
      </w:r>
      <w:r>
        <w:rPr>
          <w:rFonts w:ascii="宋体" w:hAnsi="宋体" w:cs="Times New Roman"/>
          <w:sz w:val="32"/>
          <w:szCs w:val="32"/>
        </w:rPr>
        <w:t>2</w:t>
      </w:r>
      <w:r>
        <w:rPr>
          <w:rFonts w:hint="eastAsia" w:ascii="宋体" w:hAnsi="宋体" w:cs="Times New Roman"/>
          <w:sz w:val="32"/>
          <w:szCs w:val="32"/>
        </w:rPr>
        <w:t>021</w:t>
      </w:r>
      <w:r>
        <w:rPr>
          <w:rFonts w:ascii="宋体" w:hAnsi="宋体" w:cs="Times New Roman"/>
          <w:sz w:val="32"/>
          <w:szCs w:val="32"/>
        </w:rPr>
        <w:t>年度政府性基金预算支出</w:t>
      </w:r>
      <w:r>
        <w:rPr>
          <w:rFonts w:hint="eastAsia" w:ascii="宋体" w:hAnsi="宋体" w:cs="Times New Roman"/>
          <w:sz w:val="32"/>
          <w:szCs w:val="32"/>
        </w:rPr>
        <w:t>预算</w:t>
      </w:r>
      <w:r>
        <w:rPr>
          <w:rFonts w:ascii="宋体" w:hAnsi="宋体" w:cs="Times New Roman"/>
          <w:sz w:val="32"/>
          <w:szCs w:val="32"/>
        </w:rPr>
        <w:t>表</w:t>
      </w:r>
    </w:p>
    <w:p>
      <w:pPr>
        <w:numPr>
          <w:ilvl w:val="0"/>
          <w:numId w:val="1"/>
        </w:numPr>
        <w:adjustRightInd w:val="0"/>
        <w:snapToGrid w:val="0"/>
        <w:spacing w:line="322" w:lineRule="auto"/>
        <w:ind w:firstLine="640" w:firstLineChars="200"/>
        <w:rPr>
          <w:rFonts w:ascii="宋体" w:hAnsi="宋体" w:cs="Times New Roman"/>
          <w:sz w:val="32"/>
          <w:szCs w:val="32"/>
        </w:rPr>
      </w:pPr>
      <w:r>
        <w:rPr>
          <w:rFonts w:hint="eastAsia" w:ascii="宋体" w:hAnsi="宋体" w:cs="Times New Roman"/>
          <w:sz w:val="32"/>
          <w:szCs w:val="32"/>
        </w:rPr>
        <w:t>2021年度部门支出预算汇总表（按政府经济分类）</w:t>
      </w:r>
    </w:p>
    <w:p>
      <w:pPr>
        <w:numPr>
          <w:ilvl w:val="0"/>
          <w:numId w:val="1"/>
        </w:numPr>
        <w:adjustRightInd w:val="0"/>
        <w:snapToGrid w:val="0"/>
        <w:spacing w:line="322" w:lineRule="auto"/>
        <w:ind w:firstLine="640" w:firstLineChars="200"/>
        <w:rPr>
          <w:rFonts w:ascii="宋体" w:hAnsi="宋体" w:cs="Times New Roman"/>
          <w:sz w:val="32"/>
          <w:szCs w:val="32"/>
        </w:rPr>
      </w:pPr>
      <w:r>
        <w:rPr>
          <w:rFonts w:hint="eastAsia" w:ascii="宋体" w:hAnsi="宋体" w:cs="Times New Roman"/>
          <w:sz w:val="32"/>
          <w:szCs w:val="32"/>
        </w:rPr>
        <w:t>2021年度部门支出预算汇总表（按部门经济分类）</w:t>
      </w:r>
    </w:p>
    <w:p>
      <w:pPr>
        <w:numPr>
          <w:ilvl w:val="0"/>
          <w:numId w:val="1"/>
        </w:numPr>
        <w:adjustRightInd w:val="0"/>
        <w:snapToGrid w:val="0"/>
        <w:spacing w:line="322" w:lineRule="auto"/>
        <w:ind w:firstLine="640" w:firstLineChars="200"/>
        <w:rPr>
          <w:rFonts w:ascii="宋体" w:hAnsi="宋体" w:cs="Times New Roman"/>
          <w:sz w:val="32"/>
          <w:szCs w:val="32"/>
        </w:rPr>
      </w:pPr>
      <w:r>
        <w:rPr>
          <w:rFonts w:hint="eastAsia" w:ascii="宋体" w:hAnsi="宋体" w:cs="Times New Roman"/>
          <w:sz w:val="32"/>
          <w:szCs w:val="32"/>
        </w:rPr>
        <w:t>2021年度一般公共预算基本支出预算表</w:t>
      </w:r>
    </w:p>
    <w:p>
      <w:pPr>
        <w:numPr>
          <w:ilvl w:val="0"/>
          <w:numId w:val="1"/>
        </w:numPr>
        <w:adjustRightInd w:val="0"/>
        <w:snapToGrid w:val="0"/>
        <w:spacing w:line="322" w:lineRule="auto"/>
        <w:ind w:firstLine="640" w:firstLineChars="200"/>
        <w:rPr>
          <w:rFonts w:ascii="宋体" w:hAnsi="宋体" w:cs="Times New Roman"/>
          <w:sz w:val="32"/>
          <w:szCs w:val="32"/>
        </w:rPr>
      </w:pPr>
      <w:r>
        <w:rPr>
          <w:rFonts w:hint="eastAsia" w:ascii="宋体" w:hAnsi="宋体" w:cs="Times New Roman"/>
          <w:sz w:val="32"/>
          <w:szCs w:val="32"/>
        </w:rPr>
        <w:t>2021年度基金预算支出表</w:t>
      </w:r>
    </w:p>
    <w:p>
      <w:pPr>
        <w:numPr>
          <w:ilvl w:val="0"/>
          <w:numId w:val="1"/>
        </w:numPr>
        <w:adjustRightInd w:val="0"/>
        <w:snapToGrid w:val="0"/>
        <w:spacing w:line="322" w:lineRule="auto"/>
        <w:ind w:firstLine="640" w:firstLineChars="200"/>
        <w:rPr>
          <w:rFonts w:ascii="宋体" w:hAnsi="宋体" w:cs="Times New Roman"/>
          <w:sz w:val="32"/>
          <w:szCs w:val="32"/>
        </w:rPr>
      </w:pPr>
      <w:r>
        <w:rPr>
          <w:rFonts w:ascii="宋体" w:hAnsi="宋体" w:cs="Times New Roman"/>
          <w:sz w:val="32"/>
          <w:szCs w:val="32"/>
        </w:rPr>
        <w:t>20</w:t>
      </w:r>
      <w:r>
        <w:rPr>
          <w:rFonts w:hint="eastAsia" w:ascii="宋体" w:hAnsi="宋体" w:cs="Times New Roman"/>
          <w:sz w:val="32"/>
          <w:szCs w:val="32"/>
        </w:rPr>
        <w:t>21年度一般公共预算 “三公”经费支出预算表</w:t>
      </w:r>
    </w:p>
    <w:p>
      <w:pPr>
        <w:adjustRightInd w:val="0"/>
        <w:snapToGrid w:val="0"/>
        <w:spacing w:line="322" w:lineRule="auto"/>
        <w:rPr>
          <w:rFonts w:ascii="宋体" w:hAnsi="宋体" w:cs="Times New Roman"/>
          <w:sz w:val="32"/>
          <w:szCs w:val="32"/>
        </w:rPr>
      </w:pPr>
      <w:r>
        <w:rPr>
          <w:rFonts w:hint="eastAsia" w:ascii="宋体" w:hAnsi="宋体" w:cs="Times New Roman"/>
          <w:sz w:val="32"/>
          <w:szCs w:val="32"/>
        </w:rPr>
        <w:t xml:space="preserve">    十二、2021年度政府采购情况表</w:t>
      </w:r>
    </w:p>
    <w:p>
      <w:pPr>
        <w:adjustRightInd w:val="0"/>
        <w:snapToGrid w:val="0"/>
        <w:spacing w:line="322" w:lineRule="auto"/>
        <w:rPr>
          <w:rFonts w:ascii="宋体" w:hAnsi="宋体" w:cs="Times New Roman"/>
          <w:sz w:val="32"/>
          <w:szCs w:val="32"/>
        </w:rPr>
      </w:pPr>
      <w:r>
        <w:rPr>
          <w:rFonts w:hint="eastAsia" w:ascii="宋体" w:hAnsi="宋体" w:cs="Times New Roman"/>
          <w:sz w:val="32"/>
          <w:szCs w:val="32"/>
        </w:rPr>
        <w:t>第三部分  盘山县网格管理服务中心2021年度部门预算相关情况说明</w:t>
      </w:r>
    </w:p>
    <w:p>
      <w:pPr>
        <w:adjustRightInd w:val="0"/>
        <w:snapToGrid w:val="0"/>
        <w:spacing w:line="322" w:lineRule="auto"/>
        <w:ind w:firstLine="640" w:firstLineChars="200"/>
        <w:rPr>
          <w:rFonts w:ascii="宋体" w:hAnsi="宋体" w:cs="Times New Roman"/>
          <w:sz w:val="32"/>
          <w:szCs w:val="32"/>
        </w:rPr>
      </w:pPr>
      <w:r>
        <w:rPr>
          <w:rFonts w:hint="eastAsia" w:ascii="宋体" w:hAnsi="宋体" w:cs="Times New Roman"/>
          <w:sz w:val="32"/>
          <w:szCs w:val="32"/>
        </w:rPr>
        <w:t>一、2021年部门预算收支情况总体说明</w:t>
      </w:r>
    </w:p>
    <w:p>
      <w:pPr>
        <w:adjustRightInd w:val="0"/>
        <w:snapToGrid w:val="0"/>
        <w:spacing w:line="322" w:lineRule="auto"/>
        <w:ind w:firstLine="640" w:firstLineChars="200"/>
        <w:rPr>
          <w:rFonts w:ascii="宋体" w:hAnsi="宋体" w:cs="Times New Roman"/>
          <w:sz w:val="32"/>
          <w:szCs w:val="32"/>
        </w:rPr>
      </w:pPr>
      <w:r>
        <w:rPr>
          <w:rFonts w:hint="eastAsia" w:ascii="宋体" w:hAnsi="宋体" w:cs="Times New Roman"/>
          <w:sz w:val="32"/>
          <w:szCs w:val="32"/>
        </w:rPr>
        <w:t>二、“三公”经费预算安排使用情况说明</w:t>
      </w:r>
    </w:p>
    <w:p>
      <w:pPr>
        <w:adjustRightInd w:val="0"/>
        <w:snapToGrid w:val="0"/>
        <w:spacing w:line="322" w:lineRule="auto"/>
        <w:ind w:firstLine="640" w:firstLineChars="200"/>
        <w:rPr>
          <w:rFonts w:ascii="宋体" w:hAnsi="宋体" w:cs="Times New Roman"/>
          <w:sz w:val="32"/>
          <w:szCs w:val="32"/>
        </w:rPr>
      </w:pPr>
      <w:r>
        <w:rPr>
          <w:rFonts w:hint="eastAsia" w:ascii="宋体" w:hAnsi="宋体" w:cs="Times New Roman"/>
          <w:sz w:val="32"/>
          <w:szCs w:val="32"/>
        </w:rPr>
        <w:t>三、机关运行经费预算安排使用情况说明</w:t>
      </w:r>
    </w:p>
    <w:p>
      <w:pPr>
        <w:adjustRightInd w:val="0"/>
        <w:snapToGrid w:val="0"/>
        <w:spacing w:line="322" w:lineRule="auto"/>
        <w:ind w:firstLine="640" w:firstLineChars="200"/>
        <w:rPr>
          <w:rFonts w:ascii="宋体" w:hAnsi="宋体" w:cs="Times New Roman"/>
          <w:sz w:val="32"/>
          <w:szCs w:val="32"/>
        </w:rPr>
      </w:pPr>
      <w:r>
        <w:rPr>
          <w:rFonts w:hint="eastAsia" w:ascii="宋体" w:hAnsi="宋体" w:cs="Times New Roman"/>
          <w:sz w:val="32"/>
          <w:szCs w:val="32"/>
        </w:rPr>
        <w:t>四、国有资产占用情况说明</w:t>
      </w:r>
    </w:p>
    <w:p>
      <w:pPr>
        <w:adjustRightInd w:val="0"/>
        <w:snapToGrid w:val="0"/>
        <w:spacing w:line="322" w:lineRule="auto"/>
        <w:ind w:firstLine="640" w:firstLineChars="200"/>
        <w:rPr>
          <w:rFonts w:ascii="宋体" w:hAnsi="宋体" w:cs="Times New Roman"/>
          <w:sz w:val="32"/>
          <w:szCs w:val="32"/>
        </w:rPr>
      </w:pPr>
      <w:r>
        <w:rPr>
          <w:rFonts w:hint="eastAsia" w:ascii="宋体" w:hAnsi="宋体" w:cs="Times New Roman"/>
          <w:sz w:val="32"/>
          <w:szCs w:val="32"/>
        </w:rPr>
        <w:t>五、政府采购安排情况说明</w:t>
      </w:r>
    </w:p>
    <w:p>
      <w:pPr>
        <w:adjustRightInd w:val="0"/>
        <w:snapToGrid w:val="0"/>
        <w:spacing w:line="322" w:lineRule="auto"/>
        <w:ind w:firstLine="640" w:firstLineChars="200"/>
        <w:rPr>
          <w:rFonts w:ascii="宋体" w:hAnsi="宋体" w:cs="Times New Roman"/>
          <w:sz w:val="32"/>
          <w:szCs w:val="32"/>
        </w:rPr>
      </w:pPr>
      <w:r>
        <w:rPr>
          <w:rFonts w:hint="eastAsia" w:ascii="宋体" w:hAnsi="宋体" w:cs="宋体"/>
          <w:sz w:val="32"/>
          <w:szCs w:val="32"/>
        </w:rPr>
        <w:t>六、预算绩效管理工作开展情况</w:t>
      </w:r>
    </w:p>
    <w:p>
      <w:pPr>
        <w:adjustRightInd w:val="0"/>
        <w:snapToGrid w:val="0"/>
        <w:spacing w:line="322" w:lineRule="auto"/>
        <w:ind w:firstLine="640" w:firstLineChars="200"/>
        <w:rPr>
          <w:rFonts w:ascii="宋体" w:hAnsi="宋体" w:cs="Times New Roman"/>
          <w:sz w:val="32"/>
          <w:szCs w:val="32"/>
        </w:rPr>
      </w:pPr>
      <w:r>
        <w:rPr>
          <w:rFonts w:hint="eastAsia" w:ascii="宋体" w:hAnsi="宋体" w:cs="Times New Roman"/>
          <w:sz w:val="32"/>
          <w:szCs w:val="32"/>
        </w:rPr>
        <w:t>第四部分  名词解释</w:t>
      </w:r>
    </w:p>
    <w:p>
      <w:pPr>
        <w:adjustRightInd w:val="0"/>
        <w:snapToGrid w:val="0"/>
        <w:spacing w:line="322" w:lineRule="auto"/>
        <w:jc w:val="center"/>
        <w:rPr>
          <w:rFonts w:ascii="宋体" w:hAnsi="宋体" w:cs="Times New Roman"/>
          <w:b/>
          <w:sz w:val="32"/>
          <w:szCs w:val="32"/>
        </w:rPr>
      </w:pPr>
      <w:r>
        <w:rPr>
          <w:rFonts w:hint="eastAsia" w:ascii="宋体" w:hAnsi="宋体" w:cs="Times New Roman"/>
          <w:b/>
          <w:sz w:val="32"/>
          <w:szCs w:val="32"/>
        </w:rPr>
        <w:t xml:space="preserve"> </w:t>
      </w:r>
    </w:p>
    <w:p>
      <w:pPr>
        <w:adjustRightInd w:val="0"/>
        <w:snapToGrid w:val="0"/>
        <w:spacing w:line="322" w:lineRule="auto"/>
        <w:jc w:val="center"/>
        <w:rPr>
          <w:rFonts w:ascii="宋体" w:hAnsi="宋体" w:cs="Times New Roman"/>
          <w:b/>
          <w:sz w:val="32"/>
          <w:szCs w:val="32"/>
        </w:rPr>
      </w:pPr>
      <w:r>
        <w:rPr>
          <w:rFonts w:hint="eastAsia" w:ascii="宋体" w:hAnsi="宋体" w:cs="Times New Roman"/>
          <w:b/>
          <w:sz w:val="32"/>
          <w:szCs w:val="32"/>
        </w:rPr>
        <w:t>第一部分 盘山县网格管理服务中心部门概况</w:t>
      </w:r>
    </w:p>
    <w:p>
      <w:pPr>
        <w:adjustRightInd w:val="0"/>
        <w:snapToGrid w:val="0"/>
        <w:spacing w:line="322" w:lineRule="auto"/>
        <w:jc w:val="center"/>
        <w:rPr>
          <w:rFonts w:ascii="宋体" w:hAnsi="宋体" w:cs="Times New Roman"/>
          <w:b/>
          <w:sz w:val="32"/>
          <w:szCs w:val="32"/>
        </w:rPr>
      </w:pPr>
    </w:p>
    <w:p>
      <w:pPr>
        <w:adjustRightInd w:val="0"/>
        <w:snapToGrid w:val="0"/>
        <w:spacing w:line="322" w:lineRule="auto"/>
        <w:jc w:val="left"/>
        <w:rPr>
          <w:rFonts w:ascii="宋体" w:hAnsi="宋体" w:cs="Times New Roman"/>
          <w:sz w:val="32"/>
          <w:szCs w:val="32"/>
        </w:rPr>
      </w:pPr>
      <w:r>
        <w:rPr>
          <w:rFonts w:hint="eastAsia" w:ascii="宋体" w:hAnsi="宋体" w:cs="Times New Roman"/>
          <w:sz w:val="32"/>
          <w:szCs w:val="32"/>
        </w:rPr>
        <w:t>一、部门主要职责:</w:t>
      </w:r>
    </w:p>
    <w:p>
      <w:pPr>
        <w:adjustRightInd w:val="0"/>
        <w:snapToGrid w:val="0"/>
        <w:spacing w:line="322" w:lineRule="auto"/>
        <w:ind w:firstLine="640" w:firstLineChars="200"/>
        <w:rPr>
          <w:rFonts w:ascii="宋体" w:hAnsi="宋体" w:cs="仿宋_GB2312"/>
          <w:sz w:val="32"/>
          <w:szCs w:val="32"/>
        </w:rPr>
      </w:pPr>
      <w:r>
        <w:rPr>
          <w:rFonts w:ascii="宋体" w:hAnsi="宋体" w:cs="仿宋_GB2312"/>
          <w:sz w:val="32"/>
          <w:szCs w:val="32"/>
        </w:rPr>
        <w:t>1.</w:t>
      </w:r>
      <w:r>
        <w:rPr>
          <w:rFonts w:hint="eastAsia" w:ascii="宋体" w:hAnsi="宋体" w:cs="仿宋_GB2312"/>
          <w:sz w:val="32"/>
          <w:szCs w:val="32"/>
        </w:rPr>
        <w:t>负责贯彻落实党和国家关于城市管理和社会治理的法规、政策。</w:t>
      </w:r>
    </w:p>
    <w:p>
      <w:pPr>
        <w:adjustRightInd w:val="0"/>
        <w:snapToGrid w:val="0"/>
        <w:spacing w:line="322" w:lineRule="auto"/>
        <w:ind w:firstLine="640" w:firstLineChars="200"/>
        <w:rPr>
          <w:rFonts w:ascii="宋体" w:hAnsi="宋体" w:cs="仿宋_GB2312"/>
          <w:sz w:val="32"/>
          <w:szCs w:val="32"/>
        </w:rPr>
      </w:pPr>
      <w:r>
        <w:rPr>
          <w:rFonts w:ascii="宋体" w:hAnsi="宋体" w:cs="仿宋_GB2312"/>
          <w:sz w:val="32"/>
          <w:szCs w:val="32"/>
        </w:rPr>
        <w:t>2.</w:t>
      </w:r>
      <w:r>
        <w:rPr>
          <w:rFonts w:hint="eastAsia" w:ascii="宋体" w:hAnsi="宋体" w:cs="仿宋_GB2312"/>
          <w:sz w:val="32"/>
          <w:szCs w:val="32"/>
        </w:rPr>
        <w:t>负责建立全县统一的指挥调度体系和县、镇（街道）、村（社区）三级网格化管理体系，承担全县社会综合管理和应急联动等职能。</w:t>
      </w:r>
    </w:p>
    <w:p>
      <w:pPr>
        <w:adjustRightInd w:val="0"/>
        <w:snapToGrid w:val="0"/>
        <w:spacing w:line="322" w:lineRule="auto"/>
        <w:ind w:firstLine="640" w:firstLineChars="200"/>
        <w:rPr>
          <w:rFonts w:ascii="宋体" w:hAnsi="宋体" w:cs="仿宋_GB2312"/>
          <w:sz w:val="32"/>
          <w:szCs w:val="32"/>
        </w:rPr>
      </w:pPr>
      <w:r>
        <w:rPr>
          <w:rFonts w:ascii="宋体" w:hAnsi="宋体" w:cs="仿宋_GB2312"/>
          <w:sz w:val="32"/>
          <w:szCs w:val="32"/>
        </w:rPr>
        <w:t>3.</w:t>
      </w:r>
      <w:r>
        <w:rPr>
          <w:rFonts w:hint="eastAsia" w:ascii="宋体" w:hAnsi="宋体" w:cs="仿宋_GB2312"/>
          <w:sz w:val="32"/>
          <w:szCs w:val="32"/>
        </w:rPr>
        <w:t>负责推进实施全县网格管理工作，分派或协调处理市下派、镇（街道）网格管理服务中心、经济区网格管理服务中心、盘山县民生网、“盘山网格”微信公众号、各领域网格员采集、行风热线等渠道上报的问题。</w:t>
      </w:r>
    </w:p>
    <w:p>
      <w:pPr>
        <w:adjustRightInd w:val="0"/>
        <w:snapToGrid w:val="0"/>
        <w:spacing w:line="322" w:lineRule="auto"/>
        <w:ind w:firstLine="640" w:firstLineChars="200"/>
        <w:rPr>
          <w:rFonts w:ascii="宋体" w:hAnsi="宋体" w:cs="仿宋_GB2312"/>
          <w:sz w:val="32"/>
          <w:szCs w:val="32"/>
        </w:rPr>
      </w:pPr>
      <w:r>
        <w:rPr>
          <w:rFonts w:ascii="宋体" w:hAnsi="宋体" w:cs="仿宋_GB2312"/>
          <w:sz w:val="32"/>
          <w:szCs w:val="32"/>
        </w:rPr>
        <w:t>4.</w:t>
      </w:r>
      <w:r>
        <w:rPr>
          <w:rFonts w:hint="eastAsia" w:ascii="宋体" w:hAnsi="宋体" w:cs="仿宋_GB2312"/>
          <w:sz w:val="32"/>
          <w:szCs w:val="32"/>
        </w:rPr>
        <w:t>负责对各镇（街道）网格管理服务中心、经济区网格管理服务中心以及县直相关联动部门处理问题情况进行催办、督办、考核等。</w:t>
      </w:r>
    </w:p>
    <w:p>
      <w:pPr>
        <w:adjustRightInd w:val="0"/>
        <w:snapToGrid w:val="0"/>
        <w:spacing w:line="322" w:lineRule="auto"/>
        <w:ind w:firstLine="640" w:firstLineChars="200"/>
        <w:rPr>
          <w:rFonts w:ascii="宋体" w:hAnsi="宋体" w:cs="仿宋_GB2312"/>
          <w:sz w:val="32"/>
          <w:szCs w:val="32"/>
        </w:rPr>
      </w:pPr>
      <w:r>
        <w:rPr>
          <w:rFonts w:ascii="宋体" w:hAnsi="宋体" w:cs="仿宋_GB2312"/>
          <w:sz w:val="32"/>
          <w:szCs w:val="32"/>
        </w:rPr>
        <w:t>5.</w:t>
      </w:r>
      <w:r>
        <w:rPr>
          <w:rFonts w:hint="eastAsia" w:ascii="宋体" w:hAnsi="宋体" w:cs="仿宋_GB2312"/>
          <w:sz w:val="32"/>
          <w:szCs w:val="32"/>
        </w:rPr>
        <w:t>负责对网格管理机构工作人员进行业务指导和培训。</w:t>
      </w:r>
    </w:p>
    <w:p>
      <w:pPr>
        <w:adjustRightInd w:val="0"/>
        <w:snapToGrid w:val="0"/>
        <w:spacing w:line="322" w:lineRule="auto"/>
        <w:ind w:firstLine="640" w:firstLineChars="200"/>
        <w:rPr>
          <w:rFonts w:ascii="宋体" w:hAnsi="宋体" w:cs="仿宋_GB2312"/>
          <w:sz w:val="32"/>
          <w:szCs w:val="32"/>
        </w:rPr>
      </w:pPr>
      <w:r>
        <w:rPr>
          <w:rFonts w:ascii="宋体" w:hAnsi="宋体" w:cs="仿宋_GB2312"/>
          <w:sz w:val="32"/>
          <w:szCs w:val="32"/>
        </w:rPr>
        <w:t>6.</w:t>
      </w:r>
      <w:r>
        <w:rPr>
          <w:rFonts w:hint="eastAsia" w:ascii="宋体" w:hAnsi="宋体" w:cs="仿宋_GB2312"/>
          <w:sz w:val="32"/>
          <w:szCs w:val="32"/>
        </w:rPr>
        <w:t>负责全县网格管理信息平台建设和维护工作。</w:t>
      </w:r>
    </w:p>
    <w:p>
      <w:pPr>
        <w:adjustRightInd w:val="0"/>
        <w:snapToGrid w:val="0"/>
        <w:spacing w:line="322" w:lineRule="auto"/>
        <w:ind w:firstLine="640" w:firstLineChars="200"/>
        <w:rPr>
          <w:rFonts w:ascii="宋体" w:hAnsi="宋体" w:cs="仿宋_GB2312"/>
          <w:sz w:val="32"/>
          <w:szCs w:val="32"/>
        </w:rPr>
      </w:pPr>
      <w:r>
        <w:rPr>
          <w:rFonts w:ascii="宋体" w:hAnsi="宋体" w:cs="仿宋_GB2312"/>
          <w:sz w:val="32"/>
          <w:szCs w:val="32"/>
        </w:rPr>
        <w:t>7.</w:t>
      </w:r>
      <w:r>
        <w:rPr>
          <w:rFonts w:hint="eastAsia" w:ascii="宋体" w:hAnsi="宋体" w:cs="仿宋_GB2312"/>
          <w:sz w:val="32"/>
          <w:szCs w:val="32"/>
        </w:rPr>
        <w:t>负责及时收集、整理、上报重要紧急信息和突发公共事件，为县委、县政府及时处理、科学决策提供服务。</w:t>
      </w:r>
    </w:p>
    <w:p>
      <w:pPr>
        <w:adjustRightInd w:val="0"/>
        <w:snapToGrid w:val="0"/>
        <w:spacing w:line="322" w:lineRule="auto"/>
        <w:ind w:firstLine="640" w:firstLineChars="200"/>
        <w:rPr>
          <w:rFonts w:ascii="宋体" w:hAnsi="宋体" w:cs="仿宋_GB2312"/>
          <w:sz w:val="32"/>
          <w:szCs w:val="32"/>
        </w:rPr>
      </w:pPr>
      <w:r>
        <w:rPr>
          <w:rFonts w:ascii="宋体" w:hAnsi="宋体" w:cs="仿宋_GB2312"/>
          <w:sz w:val="32"/>
          <w:szCs w:val="32"/>
        </w:rPr>
        <w:t>8.</w:t>
      </w:r>
      <w:r>
        <w:rPr>
          <w:rFonts w:hint="eastAsia" w:ascii="宋体" w:hAnsi="宋体" w:cs="仿宋_GB2312"/>
          <w:sz w:val="32"/>
          <w:szCs w:val="32"/>
        </w:rPr>
        <w:t>负责全县政务信息服务、信息数据综合应用工作。</w:t>
      </w:r>
    </w:p>
    <w:p>
      <w:pPr>
        <w:adjustRightInd w:val="0"/>
        <w:snapToGrid w:val="0"/>
        <w:spacing w:line="322" w:lineRule="auto"/>
        <w:ind w:firstLine="640" w:firstLineChars="200"/>
        <w:rPr>
          <w:rFonts w:ascii="宋体" w:hAnsi="宋体" w:cs="仿宋_GB2312"/>
          <w:sz w:val="32"/>
          <w:szCs w:val="32"/>
        </w:rPr>
      </w:pPr>
      <w:r>
        <w:rPr>
          <w:rFonts w:ascii="宋体" w:hAnsi="宋体" w:cs="仿宋_GB2312"/>
          <w:sz w:val="32"/>
          <w:szCs w:val="32"/>
        </w:rPr>
        <w:t>9.</w:t>
      </w:r>
      <w:r>
        <w:rPr>
          <w:rFonts w:hint="eastAsia" w:ascii="宋体" w:hAnsi="宋体" w:cs="仿宋_GB2312"/>
          <w:sz w:val="32"/>
          <w:szCs w:val="32"/>
        </w:rPr>
        <w:t>承办县委、县政府交办的其他事项。</w:t>
      </w:r>
    </w:p>
    <w:p>
      <w:pPr>
        <w:widowControl/>
        <w:shd w:val="clear" w:color="auto" w:fill="FFFFFF"/>
        <w:adjustRightInd w:val="0"/>
        <w:snapToGrid w:val="0"/>
        <w:spacing w:line="322" w:lineRule="auto"/>
        <w:ind w:firstLine="960" w:firstLineChars="300"/>
        <w:jc w:val="left"/>
        <w:rPr>
          <w:rFonts w:ascii="宋体" w:hAnsi="宋体" w:cs="宋体"/>
          <w:color w:val="000000"/>
          <w:kern w:val="0"/>
          <w:sz w:val="32"/>
          <w:szCs w:val="32"/>
        </w:rPr>
      </w:pPr>
      <w:r>
        <w:rPr>
          <w:rFonts w:hint="eastAsia" w:ascii="宋体" w:hAnsi="宋体" w:cs="宋体"/>
          <w:color w:val="000000"/>
          <w:kern w:val="0"/>
          <w:sz w:val="32"/>
          <w:szCs w:val="32"/>
        </w:rPr>
        <w:t>二、机构设置情况：</w:t>
      </w:r>
    </w:p>
    <w:p>
      <w:pPr>
        <w:widowControl/>
        <w:shd w:val="clear" w:color="auto" w:fill="FFFFFF"/>
        <w:adjustRightInd w:val="0"/>
        <w:snapToGrid w:val="0"/>
        <w:spacing w:line="322" w:lineRule="auto"/>
        <w:ind w:firstLine="630"/>
        <w:jc w:val="left"/>
        <w:rPr>
          <w:rFonts w:ascii="宋体" w:hAnsi="宋体" w:cs="Times New Roman"/>
          <w:sz w:val="32"/>
          <w:szCs w:val="32"/>
        </w:rPr>
      </w:pPr>
      <w:r>
        <w:rPr>
          <w:rFonts w:hint="eastAsia" w:ascii="宋体" w:hAnsi="宋体"/>
          <w:sz w:val="32"/>
          <w:szCs w:val="32"/>
        </w:rPr>
        <w:t>根据本部门主要职责，内设机构如下：</w:t>
      </w:r>
      <w:r>
        <w:rPr>
          <w:rFonts w:hint="eastAsia" w:ascii="宋体" w:hAnsi="宋体" w:cs="Times New Roman"/>
          <w:sz w:val="32"/>
          <w:szCs w:val="32"/>
        </w:rPr>
        <w:t>内设五个股室：综合办公室、受理处置股、绩效考核股、机制外宣股、信息管理股；十三个镇（街道）分中心机构：太平街道、得胜街道、高升街道、东郭街道、胡家镇、沙岭镇、古城子镇、坝墙子镇、吴家镇、陈家镇、羊圈子镇、石新镇、甜水镇</w:t>
      </w:r>
      <w:r>
        <w:rPr>
          <w:rFonts w:hint="eastAsia" w:ascii="宋体" w:hAnsi="宋体"/>
          <w:sz w:val="32"/>
          <w:szCs w:val="32"/>
        </w:rPr>
        <w:t>分中心。</w:t>
      </w:r>
    </w:p>
    <w:p>
      <w:pPr>
        <w:widowControl/>
        <w:shd w:val="clear" w:color="auto" w:fill="FFFFFF"/>
        <w:adjustRightInd w:val="0"/>
        <w:snapToGrid w:val="0"/>
        <w:spacing w:line="322" w:lineRule="auto"/>
        <w:ind w:firstLine="640" w:firstLineChars="200"/>
        <w:jc w:val="left"/>
        <w:rPr>
          <w:rFonts w:ascii="宋体" w:hAnsi="宋体" w:cs="宋体"/>
          <w:color w:val="000000"/>
          <w:kern w:val="0"/>
          <w:sz w:val="32"/>
          <w:szCs w:val="32"/>
        </w:rPr>
      </w:pPr>
      <w:r>
        <w:rPr>
          <w:rFonts w:hint="eastAsia" w:ascii="宋体" w:hAnsi="宋体" w:cs="宋体"/>
          <w:bCs/>
          <w:color w:val="000000"/>
          <w:kern w:val="0"/>
          <w:sz w:val="32"/>
          <w:szCs w:val="32"/>
        </w:rPr>
        <w:t>三、部门预算单位构成</w:t>
      </w:r>
    </w:p>
    <w:p>
      <w:pPr>
        <w:adjustRightInd w:val="0"/>
        <w:snapToGrid w:val="0"/>
        <w:spacing w:line="322" w:lineRule="auto"/>
        <w:jc w:val="center"/>
        <w:rPr>
          <w:rFonts w:ascii="宋体" w:hAnsi="宋体" w:cs="宋体"/>
          <w:color w:val="000000"/>
          <w:kern w:val="0"/>
          <w:sz w:val="32"/>
          <w:szCs w:val="32"/>
        </w:rPr>
      </w:pPr>
      <w:r>
        <w:rPr>
          <w:rFonts w:hint="eastAsia" w:ascii="宋体" w:hAnsi="宋体" w:cs="仿宋"/>
          <w:sz w:val="32"/>
          <w:szCs w:val="32"/>
        </w:rPr>
        <w:t xml:space="preserve">   根据</w:t>
      </w:r>
      <w:r>
        <w:rPr>
          <w:rFonts w:hint="eastAsia" w:ascii="宋体" w:hAnsi="宋体" w:cs="仿宋"/>
          <w:color w:val="000000"/>
          <w:sz w:val="32"/>
          <w:szCs w:val="32"/>
        </w:rPr>
        <w:t>《关于批复2021年县本级部门预算的通知》（盘县财预发[2021]1号）</w:t>
      </w:r>
      <w:r>
        <w:rPr>
          <w:rFonts w:hint="eastAsia" w:ascii="宋体" w:hAnsi="宋体" w:cs="仿宋"/>
          <w:sz w:val="32"/>
          <w:szCs w:val="32"/>
        </w:rPr>
        <w:t>要求，</w:t>
      </w:r>
      <w:r>
        <w:rPr>
          <w:rFonts w:hint="eastAsia" w:ascii="宋体" w:hAnsi="宋体" w:cs="宋体"/>
          <w:color w:val="000000"/>
          <w:kern w:val="0"/>
          <w:sz w:val="32"/>
          <w:szCs w:val="32"/>
        </w:rPr>
        <w:t>纳入2021年部门预算编制范围</w:t>
      </w:r>
    </w:p>
    <w:p>
      <w:pPr>
        <w:adjustRightInd w:val="0"/>
        <w:snapToGrid w:val="0"/>
        <w:spacing w:line="322" w:lineRule="auto"/>
        <w:rPr>
          <w:rFonts w:ascii="宋体" w:hAnsi="宋体" w:cs="宋体"/>
          <w:color w:val="000000"/>
          <w:kern w:val="0"/>
          <w:sz w:val="32"/>
          <w:szCs w:val="32"/>
        </w:rPr>
      </w:pPr>
      <w:r>
        <w:rPr>
          <w:rFonts w:hint="eastAsia" w:ascii="宋体" w:hAnsi="宋体" w:cs="宋体"/>
          <w:color w:val="000000"/>
          <w:kern w:val="0"/>
          <w:sz w:val="32"/>
          <w:szCs w:val="32"/>
        </w:rPr>
        <w:t>的一级预算单位：盘山县网格管理服务中心。</w:t>
      </w:r>
    </w:p>
    <w:p>
      <w:pPr>
        <w:adjustRightInd w:val="0"/>
        <w:snapToGrid w:val="0"/>
        <w:spacing w:line="322" w:lineRule="auto"/>
        <w:jc w:val="center"/>
        <w:rPr>
          <w:rFonts w:ascii="宋体" w:hAnsi="宋体" w:cs="Times New Roman"/>
          <w:b/>
          <w:sz w:val="32"/>
          <w:szCs w:val="32"/>
        </w:rPr>
      </w:pPr>
      <w:r>
        <w:rPr>
          <w:rFonts w:hint="eastAsia" w:ascii="宋体" w:hAnsi="宋体" w:cs="Times New Roman"/>
          <w:b/>
          <w:sz w:val="32"/>
          <w:szCs w:val="32"/>
        </w:rPr>
        <w:t xml:space="preserve"> </w:t>
      </w:r>
    </w:p>
    <w:p>
      <w:pPr>
        <w:adjustRightInd w:val="0"/>
        <w:snapToGrid w:val="0"/>
        <w:spacing w:line="322" w:lineRule="auto"/>
        <w:jc w:val="center"/>
        <w:rPr>
          <w:rFonts w:ascii="宋体" w:hAnsi="宋体" w:cs="Times New Roman"/>
          <w:sz w:val="32"/>
          <w:szCs w:val="32"/>
        </w:rPr>
      </w:pPr>
      <w:r>
        <w:rPr>
          <w:rFonts w:hint="eastAsia" w:ascii="宋体" w:hAnsi="宋体" w:cs="Times New Roman"/>
          <w:b/>
          <w:sz w:val="32"/>
          <w:szCs w:val="32"/>
        </w:rPr>
        <w:t xml:space="preserve">   第二部分 盘山县网格管理服务中心2021年度部门预算公开报表</w:t>
      </w:r>
    </w:p>
    <w:p>
      <w:pPr>
        <w:adjustRightInd w:val="0"/>
        <w:snapToGrid w:val="0"/>
        <w:spacing w:line="322" w:lineRule="auto"/>
        <w:rPr>
          <w:rFonts w:ascii="宋体" w:hAnsi="宋体" w:cs="Times New Roman"/>
          <w:sz w:val="32"/>
          <w:szCs w:val="32"/>
        </w:rPr>
      </w:pPr>
    </w:p>
    <w:p>
      <w:pPr>
        <w:adjustRightInd w:val="0"/>
        <w:snapToGrid w:val="0"/>
        <w:spacing w:line="322" w:lineRule="auto"/>
        <w:ind w:firstLine="624" w:firstLineChars="195"/>
        <w:rPr>
          <w:rFonts w:ascii="宋体" w:hAnsi="宋体" w:cs="仿宋"/>
          <w:sz w:val="32"/>
          <w:szCs w:val="32"/>
        </w:rPr>
      </w:pPr>
      <w:r>
        <w:rPr>
          <w:rFonts w:hint="eastAsia" w:ascii="宋体" w:hAnsi="宋体" w:cs="仿宋"/>
          <w:sz w:val="32"/>
          <w:szCs w:val="32"/>
        </w:rPr>
        <w:t>公开01表：2021年度收入支出预算总表</w:t>
      </w:r>
    </w:p>
    <w:p>
      <w:pPr>
        <w:adjustRightInd w:val="0"/>
        <w:snapToGrid w:val="0"/>
        <w:spacing w:line="322" w:lineRule="auto"/>
        <w:ind w:firstLine="624" w:firstLineChars="195"/>
        <w:rPr>
          <w:rFonts w:ascii="宋体" w:hAnsi="宋体" w:cs="仿宋"/>
          <w:sz w:val="32"/>
          <w:szCs w:val="32"/>
        </w:rPr>
      </w:pPr>
      <w:r>
        <w:rPr>
          <w:rFonts w:hint="eastAsia" w:ascii="宋体" w:hAnsi="宋体" w:cs="仿宋"/>
          <w:sz w:val="32"/>
          <w:szCs w:val="32"/>
        </w:rPr>
        <w:t>公开02表：2021年度收入预算表</w:t>
      </w:r>
    </w:p>
    <w:p>
      <w:pPr>
        <w:adjustRightInd w:val="0"/>
        <w:snapToGrid w:val="0"/>
        <w:spacing w:line="322" w:lineRule="auto"/>
        <w:ind w:firstLine="624" w:firstLineChars="195"/>
        <w:rPr>
          <w:rFonts w:ascii="宋体" w:hAnsi="宋体" w:cs="仿宋"/>
          <w:sz w:val="32"/>
          <w:szCs w:val="32"/>
        </w:rPr>
      </w:pPr>
      <w:r>
        <w:rPr>
          <w:rFonts w:hint="eastAsia" w:ascii="宋体" w:hAnsi="宋体" w:cs="仿宋"/>
          <w:sz w:val="32"/>
          <w:szCs w:val="32"/>
        </w:rPr>
        <w:t>公开03表：2021年度支出预算表</w:t>
      </w:r>
    </w:p>
    <w:p>
      <w:pPr>
        <w:adjustRightInd w:val="0"/>
        <w:snapToGrid w:val="0"/>
        <w:spacing w:line="322" w:lineRule="auto"/>
        <w:ind w:firstLine="624" w:firstLineChars="195"/>
        <w:rPr>
          <w:rFonts w:ascii="宋体" w:hAnsi="宋体" w:cs="仿宋"/>
          <w:sz w:val="32"/>
          <w:szCs w:val="32"/>
        </w:rPr>
      </w:pPr>
      <w:r>
        <w:rPr>
          <w:rFonts w:hint="eastAsia" w:ascii="宋体" w:hAnsi="宋体" w:cs="仿宋"/>
          <w:sz w:val="32"/>
          <w:szCs w:val="32"/>
        </w:rPr>
        <w:t>公开04表：2021年度财政拨款收入预算表</w:t>
      </w:r>
    </w:p>
    <w:p>
      <w:pPr>
        <w:adjustRightInd w:val="0"/>
        <w:snapToGrid w:val="0"/>
        <w:spacing w:line="322" w:lineRule="auto"/>
        <w:ind w:firstLine="624" w:firstLineChars="195"/>
        <w:rPr>
          <w:rFonts w:ascii="宋体" w:hAnsi="宋体" w:cs="仿宋"/>
          <w:sz w:val="32"/>
          <w:szCs w:val="32"/>
        </w:rPr>
      </w:pPr>
      <w:r>
        <w:rPr>
          <w:rFonts w:hint="eastAsia" w:ascii="宋体" w:hAnsi="宋体" w:cs="仿宋"/>
          <w:sz w:val="32"/>
          <w:szCs w:val="32"/>
        </w:rPr>
        <w:t>公开05表：2021年度一般公共预算财政拨款收入支出预算表</w:t>
      </w:r>
    </w:p>
    <w:p>
      <w:pPr>
        <w:adjustRightInd w:val="0"/>
        <w:snapToGrid w:val="0"/>
        <w:spacing w:line="322" w:lineRule="auto"/>
        <w:ind w:firstLine="624" w:firstLineChars="195"/>
        <w:rPr>
          <w:rFonts w:ascii="宋体" w:hAnsi="宋体" w:cs="仿宋"/>
          <w:sz w:val="32"/>
          <w:szCs w:val="32"/>
        </w:rPr>
      </w:pPr>
      <w:r>
        <w:rPr>
          <w:rFonts w:hint="eastAsia" w:ascii="宋体" w:hAnsi="宋体" w:cs="仿宋"/>
          <w:sz w:val="32"/>
          <w:szCs w:val="32"/>
        </w:rPr>
        <w:t>公开06表：2021年度政府性基金预算支出预算表</w:t>
      </w:r>
    </w:p>
    <w:p>
      <w:pPr>
        <w:adjustRightInd w:val="0"/>
        <w:snapToGrid w:val="0"/>
        <w:spacing w:line="322" w:lineRule="auto"/>
        <w:ind w:firstLine="624" w:firstLineChars="195"/>
        <w:rPr>
          <w:rFonts w:ascii="宋体" w:hAnsi="宋体" w:cs="仿宋"/>
          <w:sz w:val="32"/>
          <w:szCs w:val="32"/>
        </w:rPr>
      </w:pPr>
      <w:r>
        <w:rPr>
          <w:rFonts w:hint="eastAsia" w:ascii="宋体" w:hAnsi="宋体" w:cs="仿宋"/>
          <w:sz w:val="32"/>
          <w:szCs w:val="32"/>
        </w:rPr>
        <w:t>公开07表：2021年度部门支出预算汇总表（按政府经济分类）</w:t>
      </w:r>
    </w:p>
    <w:p>
      <w:pPr>
        <w:adjustRightInd w:val="0"/>
        <w:snapToGrid w:val="0"/>
        <w:spacing w:line="322" w:lineRule="auto"/>
        <w:ind w:firstLine="624" w:firstLineChars="195"/>
        <w:rPr>
          <w:rFonts w:ascii="宋体" w:hAnsi="宋体" w:cs="仿宋"/>
          <w:sz w:val="32"/>
          <w:szCs w:val="32"/>
        </w:rPr>
      </w:pPr>
      <w:r>
        <w:rPr>
          <w:rFonts w:hint="eastAsia" w:ascii="宋体" w:hAnsi="宋体" w:cs="仿宋"/>
          <w:sz w:val="32"/>
          <w:szCs w:val="32"/>
        </w:rPr>
        <w:t>公开08表：2021年度部门支出预算汇总表（按部门经济分类）</w:t>
      </w:r>
    </w:p>
    <w:p>
      <w:pPr>
        <w:adjustRightInd w:val="0"/>
        <w:snapToGrid w:val="0"/>
        <w:spacing w:line="322" w:lineRule="auto"/>
        <w:ind w:firstLine="624" w:firstLineChars="195"/>
        <w:rPr>
          <w:rFonts w:ascii="宋体" w:hAnsi="宋体" w:cs="仿宋"/>
          <w:sz w:val="32"/>
          <w:szCs w:val="32"/>
        </w:rPr>
      </w:pPr>
      <w:r>
        <w:rPr>
          <w:rFonts w:hint="eastAsia" w:ascii="宋体" w:hAnsi="宋体" w:cs="仿宋"/>
          <w:sz w:val="32"/>
          <w:szCs w:val="32"/>
        </w:rPr>
        <w:t>公开09表：2021年度一般公共预算基本支出预算表</w:t>
      </w:r>
    </w:p>
    <w:p>
      <w:pPr>
        <w:adjustRightInd w:val="0"/>
        <w:snapToGrid w:val="0"/>
        <w:spacing w:line="322" w:lineRule="auto"/>
        <w:ind w:firstLine="624" w:firstLineChars="195"/>
        <w:rPr>
          <w:rFonts w:ascii="宋体" w:hAnsi="宋体" w:cs="仿宋"/>
          <w:sz w:val="32"/>
          <w:szCs w:val="32"/>
        </w:rPr>
      </w:pPr>
      <w:r>
        <w:rPr>
          <w:rFonts w:hint="eastAsia" w:ascii="宋体" w:hAnsi="宋体" w:cs="仿宋"/>
          <w:sz w:val="32"/>
          <w:szCs w:val="32"/>
        </w:rPr>
        <w:t>公开10表：2021年度基金预算支出表</w:t>
      </w:r>
    </w:p>
    <w:p>
      <w:pPr>
        <w:adjustRightInd w:val="0"/>
        <w:snapToGrid w:val="0"/>
        <w:spacing w:line="322" w:lineRule="auto"/>
        <w:ind w:firstLine="624" w:firstLineChars="195"/>
        <w:rPr>
          <w:rFonts w:ascii="宋体" w:hAnsi="宋体" w:cs="仿宋"/>
          <w:sz w:val="32"/>
          <w:szCs w:val="32"/>
        </w:rPr>
      </w:pPr>
      <w:r>
        <w:rPr>
          <w:rFonts w:hint="eastAsia" w:ascii="宋体" w:hAnsi="宋体" w:cs="仿宋"/>
          <w:sz w:val="32"/>
          <w:szCs w:val="32"/>
        </w:rPr>
        <w:t>公开11表：2021年度一般公共预算 “三公”经费支出预算表</w:t>
      </w:r>
    </w:p>
    <w:p>
      <w:pPr>
        <w:adjustRightInd w:val="0"/>
        <w:snapToGrid w:val="0"/>
        <w:spacing w:line="322" w:lineRule="auto"/>
        <w:ind w:firstLine="624" w:firstLineChars="195"/>
        <w:rPr>
          <w:rFonts w:ascii="宋体" w:hAnsi="宋体" w:cs="仿宋"/>
          <w:sz w:val="32"/>
          <w:szCs w:val="32"/>
        </w:rPr>
      </w:pPr>
      <w:r>
        <w:rPr>
          <w:rFonts w:hint="eastAsia" w:ascii="宋体" w:hAnsi="宋体" w:cs="仿宋"/>
          <w:sz w:val="32"/>
          <w:szCs w:val="32"/>
        </w:rPr>
        <w:t xml:space="preserve"> 公开12表：2021年度政府采购情况表</w:t>
      </w:r>
    </w:p>
    <w:p>
      <w:pPr>
        <w:adjustRightInd w:val="0"/>
        <w:snapToGrid w:val="0"/>
        <w:spacing w:line="322" w:lineRule="auto"/>
        <w:rPr>
          <w:rFonts w:ascii="宋体" w:hAnsi="宋体" w:cs="Times New Roman"/>
          <w:b/>
          <w:sz w:val="32"/>
          <w:szCs w:val="32"/>
        </w:rPr>
      </w:pPr>
    </w:p>
    <w:p>
      <w:pPr>
        <w:adjustRightInd w:val="0"/>
        <w:snapToGrid w:val="0"/>
        <w:spacing w:line="322" w:lineRule="auto"/>
        <w:ind w:firstLine="1285" w:firstLineChars="400"/>
        <w:rPr>
          <w:rFonts w:ascii="宋体" w:hAnsi="宋体" w:cs="Times New Roman"/>
          <w:b/>
          <w:sz w:val="32"/>
          <w:szCs w:val="32"/>
        </w:rPr>
      </w:pPr>
      <w:r>
        <w:rPr>
          <w:rFonts w:hint="eastAsia" w:ascii="宋体" w:hAnsi="宋体" w:cs="Times New Roman"/>
          <w:b/>
          <w:sz w:val="32"/>
          <w:szCs w:val="32"/>
        </w:rPr>
        <w:t>第三部分盘山县网格管理服务中心</w:t>
      </w:r>
    </w:p>
    <w:p>
      <w:pPr>
        <w:adjustRightInd w:val="0"/>
        <w:snapToGrid w:val="0"/>
        <w:spacing w:line="322" w:lineRule="auto"/>
        <w:ind w:firstLine="1285" w:firstLineChars="400"/>
        <w:rPr>
          <w:rFonts w:ascii="宋体" w:hAnsi="宋体" w:cs="Times New Roman"/>
          <w:b/>
          <w:sz w:val="32"/>
          <w:szCs w:val="32"/>
        </w:rPr>
      </w:pPr>
      <w:r>
        <w:rPr>
          <w:rFonts w:hint="eastAsia" w:ascii="宋体" w:hAnsi="宋体" w:cs="Times New Roman"/>
          <w:b/>
          <w:sz w:val="32"/>
          <w:szCs w:val="32"/>
        </w:rPr>
        <w:t>2021年度部门预算相关情况说明</w:t>
      </w:r>
    </w:p>
    <w:p>
      <w:pPr>
        <w:adjustRightInd w:val="0"/>
        <w:snapToGrid w:val="0"/>
        <w:spacing w:line="322" w:lineRule="auto"/>
        <w:rPr>
          <w:rFonts w:ascii="宋体" w:hAnsi="宋体" w:cs="Times New Roman"/>
          <w:b/>
          <w:sz w:val="32"/>
          <w:szCs w:val="32"/>
        </w:rPr>
      </w:pPr>
    </w:p>
    <w:p>
      <w:pPr>
        <w:adjustRightInd w:val="0"/>
        <w:snapToGrid w:val="0"/>
        <w:spacing w:line="322" w:lineRule="auto"/>
        <w:ind w:firstLine="660"/>
        <w:rPr>
          <w:rFonts w:ascii="宋体" w:hAnsi="宋体" w:cs="Times New Roman"/>
          <w:sz w:val="32"/>
          <w:szCs w:val="32"/>
        </w:rPr>
      </w:pPr>
      <w:r>
        <w:rPr>
          <w:rFonts w:hint="eastAsia" w:ascii="宋体" w:hAnsi="宋体" w:cs="Times New Roman"/>
          <w:sz w:val="32"/>
          <w:szCs w:val="32"/>
        </w:rPr>
        <w:t>一、2021年部门预算收支情况总体说明</w:t>
      </w:r>
    </w:p>
    <w:p>
      <w:pPr>
        <w:adjustRightInd w:val="0"/>
        <w:snapToGrid w:val="0"/>
        <w:spacing w:line="322" w:lineRule="auto"/>
        <w:ind w:firstLine="624" w:firstLineChars="195"/>
        <w:rPr>
          <w:rFonts w:ascii="宋体" w:hAnsi="宋体" w:cs="仿宋"/>
          <w:sz w:val="32"/>
          <w:szCs w:val="32"/>
        </w:rPr>
      </w:pPr>
      <w:r>
        <w:rPr>
          <w:rFonts w:hint="eastAsia" w:ascii="宋体" w:hAnsi="宋体" w:cs="仿宋"/>
          <w:sz w:val="32"/>
          <w:szCs w:val="32"/>
        </w:rPr>
        <w:t>根据</w:t>
      </w:r>
      <w:r>
        <w:rPr>
          <w:rFonts w:hint="eastAsia" w:ascii="宋体" w:hAnsi="宋体" w:cs="仿宋"/>
          <w:color w:val="000000"/>
          <w:sz w:val="32"/>
          <w:szCs w:val="32"/>
        </w:rPr>
        <w:t>《关于批复2021年县本级部门预算的通知》（盘县财预发[2021]1号）</w:t>
      </w:r>
      <w:r>
        <w:rPr>
          <w:rFonts w:hint="eastAsia" w:ascii="宋体" w:hAnsi="宋体" w:cs="仿宋"/>
          <w:sz w:val="32"/>
          <w:szCs w:val="32"/>
        </w:rPr>
        <w:t>要求：</w:t>
      </w:r>
    </w:p>
    <w:p>
      <w:pPr>
        <w:adjustRightInd w:val="0"/>
        <w:snapToGrid w:val="0"/>
        <w:spacing w:line="322" w:lineRule="auto"/>
        <w:ind w:firstLine="640" w:firstLineChars="200"/>
        <w:rPr>
          <w:rFonts w:ascii="宋体" w:hAnsi="宋体" w:cs="仿宋"/>
          <w:sz w:val="32"/>
          <w:szCs w:val="32"/>
        </w:rPr>
      </w:pPr>
      <w:r>
        <w:rPr>
          <w:rFonts w:hint="eastAsia" w:ascii="宋体" w:hAnsi="宋体" w:cs="仿宋"/>
          <w:sz w:val="32"/>
          <w:szCs w:val="32"/>
        </w:rPr>
        <w:t>1.收入预算1002.52万元。其中，财政拨款1002.52万元，非税收入0万元。</w:t>
      </w:r>
    </w:p>
    <w:p>
      <w:pPr>
        <w:adjustRightInd w:val="0"/>
        <w:snapToGrid w:val="0"/>
        <w:spacing w:line="322" w:lineRule="auto"/>
        <w:ind w:firstLine="640" w:firstLineChars="200"/>
        <w:rPr>
          <w:rFonts w:ascii="宋体" w:hAnsi="宋体" w:cs="仿宋"/>
          <w:sz w:val="32"/>
          <w:szCs w:val="32"/>
        </w:rPr>
      </w:pPr>
      <w:r>
        <w:rPr>
          <w:rFonts w:hint="eastAsia" w:ascii="宋体" w:hAnsi="宋体" w:cs="仿宋"/>
          <w:sz w:val="32"/>
          <w:szCs w:val="32"/>
        </w:rPr>
        <w:t>2.支出预算1002.52万元。其中，一般公共服务支出795.03万元，</w:t>
      </w:r>
      <w:r>
        <w:rPr>
          <w:rFonts w:hint="eastAsia" w:ascii="宋体" w:hAnsi="宋体" w:cs="宋体"/>
          <w:color w:val="000000"/>
          <w:kern w:val="0"/>
          <w:sz w:val="32"/>
          <w:szCs w:val="32"/>
        </w:rPr>
        <w:t>社会保障和就业支出121.85</w:t>
      </w:r>
      <w:r>
        <w:rPr>
          <w:rFonts w:hint="eastAsia" w:ascii="宋体" w:hAnsi="宋体" w:cs="仿宋"/>
          <w:sz w:val="32"/>
          <w:szCs w:val="32"/>
        </w:rPr>
        <w:t>万元，</w:t>
      </w:r>
      <w:r>
        <w:rPr>
          <w:rFonts w:hint="eastAsia" w:ascii="宋体" w:hAnsi="宋体" w:cs="宋体"/>
          <w:color w:val="000000"/>
          <w:kern w:val="0"/>
          <w:sz w:val="32"/>
          <w:szCs w:val="32"/>
        </w:rPr>
        <w:t>卫生健康支出31.48</w:t>
      </w:r>
      <w:r>
        <w:rPr>
          <w:rFonts w:hint="eastAsia" w:ascii="宋体" w:hAnsi="宋体" w:cs="仿宋"/>
          <w:sz w:val="32"/>
          <w:szCs w:val="32"/>
        </w:rPr>
        <w:t xml:space="preserve">万元，住房保障支出54.16万元。 </w:t>
      </w:r>
    </w:p>
    <w:p>
      <w:pPr>
        <w:adjustRightInd w:val="0"/>
        <w:snapToGrid w:val="0"/>
        <w:spacing w:line="322" w:lineRule="auto"/>
        <w:ind w:firstLine="640" w:firstLineChars="200"/>
        <w:rPr>
          <w:rFonts w:ascii="宋体" w:hAnsi="宋体" w:cs="仿宋"/>
          <w:sz w:val="32"/>
          <w:szCs w:val="32"/>
        </w:rPr>
      </w:pPr>
      <w:r>
        <w:rPr>
          <w:rFonts w:hint="eastAsia" w:ascii="宋体" w:hAnsi="宋体" w:cs="仿宋"/>
          <w:sz w:val="32"/>
          <w:szCs w:val="32"/>
        </w:rPr>
        <w:t>3.与2020年度预算比，收入增加167.8万元，增长20.10%，</w:t>
      </w:r>
      <w:r>
        <w:rPr>
          <w:rFonts w:hint="eastAsia" w:ascii="宋体" w:hAnsi="宋体" w:cs="仿宋"/>
          <w:color w:val="000000"/>
          <w:sz w:val="32"/>
          <w:szCs w:val="32"/>
        </w:rPr>
        <w:t>原因</w:t>
      </w:r>
      <w:r>
        <w:rPr>
          <w:rFonts w:hint="eastAsia" w:ascii="宋体" w:hAnsi="宋体" w:cs="仿宋"/>
          <w:sz w:val="32"/>
          <w:szCs w:val="32"/>
        </w:rPr>
        <w:t>是项目及工资福利增加。支出增加167.8万元，增长20.10%，</w:t>
      </w:r>
      <w:r>
        <w:rPr>
          <w:rFonts w:hint="eastAsia" w:ascii="宋体" w:hAnsi="宋体" w:cs="仿宋"/>
          <w:color w:val="000000"/>
          <w:sz w:val="32"/>
          <w:szCs w:val="32"/>
        </w:rPr>
        <w:t>原因</w:t>
      </w:r>
      <w:r>
        <w:rPr>
          <w:rFonts w:hint="eastAsia" w:ascii="宋体" w:hAnsi="宋体" w:cs="仿宋"/>
          <w:sz w:val="32"/>
          <w:szCs w:val="32"/>
        </w:rPr>
        <w:t>是</w:t>
      </w:r>
      <w:r>
        <w:rPr>
          <w:rFonts w:hint="eastAsia" w:ascii="宋体" w:hAnsi="宋体"/>
          <w:sz w:val="32"/>
          <w:szCs w:val="32"/>
        </w:rPr>
        <w:t>项目及工资福利增加</w:t>
      </w:r>
      <w:r>
        <w:rPr>
          <w:rFonts w:hint="eastAsia" w:ascii="宋体" w:hAnsi="宋体" w:cs="仿宋"/>
          <w:sz w:val="32"/>
          <w:szCs w:val="32"/>
        </w:rPr>
        <w:t>。与2020年度预算相比，财政拨款收入增加167.8万元，增长20.10%，</w:t>
      </w:r>
      <w:r>
        <w:rPr>
          <w:rFonts w:hint="eastAsia" w:ascii="宋体" w:hAnsi="宋体" w:cs="仿宋"/>
          <w:color w:val="000000"/>
          <w:sz w:val="32"/>
          <w:szCs w:val="32"/>
        </w:rPr>
        <w:t>原因</w:t>
      </w:r>
      <w:r>
        <w:rPr>
          <w:rFonts w:hint="eastAsia" w:ascii="宋体" w:hAnsi="宋体" w:cs="仿宋"/>
          <w:sz w:val="32"/>
          <w:szCs w:val="32"/>
        </w:rPr>
        <w:t>是项目及工资福利增加。财政拨款支出增加167.8万元，增长20.10%，</w:t>
      </w:r>
      <w:r>
        <w:rPr>
          <w:rFonts w:hint="eastAsia" w:ascii="宋体" w:hAnsi="宋体" w:cs="仿宋"/>
          <w:color w:val="000000"/>
          <w:sz w:val="32"/>
          <w:szCs w:val="32"/>
        </w:rPr>
        <w:t>原因</w:t>
      </w:r>
      <w:r>
        <w:rPr>
          <w:rFonts w:hint="eastAsia" w:ascii="宋体" w:hAnsi="宋体" w:cs="仿宋"/>
          <w:sz w:val="32"/>
          <w:szCs w:val="32"/>
        </w:rPr>
        <w:t>是项目及工资福利增加。</w:t>
      </w:r>
    </w:p>
    <w:p>
      <w:pPr>
        <w:adjustRightInd w:val="0"/>
        <w:snapToGrid w:val="0"/>
        <w:spacing w:line="322" w:lineRule="auto"/>
        <w:ind w:firstLine="640" w:firstLineChars="200"/>
        <w:rPr>
          <w:rFonts w:ascii="宋体" w:hAnsi="宋体" w:cs="Times New Roman"/>
          <w:sz w:val="32"/>
          <w:szCs w:val="32"/>
        </w:rPr>
      </w:pPr>
      <w:r>
        <w:rPr>
          <w:rFonts w:hint="eastAsia" w:ascii="宋体" w:hAnsi="宋体" w:cs="Times New Roman"/>
          <w:sz w:val="32"/>
          <w:szCs w:val="32"/>
        </w:rPr>
        <w:t>二、“三公”经费预算安排使用情况说明</w:t>
      </w:r>
    </w:p>
    <w:p>
      <w:pPr>
        <w:adjustRightInd w:val="0"/>
        <w:snapToGrid w:val="0"/>
        <w:spacing w:line="322" w:lineRule="auto"/>
        <w:ind w:firstLine="624" w:firstLineChars="195"/>
        <w:rPr>
          <w:rFonts w:ascii="宋体" w:hAnsi="宋体" w:cs="仿宋"/>
          <w:sz w:val="32"/>
          <w:szCs w:val="32"/>
        </w:rPr>
      </w:pPr>
      <w:r>
        <w:rPr>
          <w:rFonts w:hint="eastAsia" w:ascii="宋体" w:hAnsi="宋体" w:cs="仿宋"/>
          <w:sz w:val="32"/>
          <w:szCs w:val="32"/>
        </w:rPr>
        <w:t>2021年度“三公”经费预算支出0万元，其中：公务用车运行费0万元。</w:t>
      </w:r>
    </w:p>
    <w:p>
      <w:pPr>
        <w:adjustRightInd w:val="0"/>
        <w:snapToGrid w:val="0"/>
        <w:spacing w:line="322" w:lineRule="auto"/>
        <w:ind w:firstLine="624" w:firstLineChars="195"/>
        <w:rPr>
          <w:rFonts w:ascii="宋体" w:hAnsi="宋体" w:cs="仿宋"/>
          <w:sz w:val="32"/>
          <w:szCs w:val="32"/>
        </w:rPr>
      </w:pPr>
      <w:r>
        <w:rPr>
          <w:rFonts w:hint="eastAsia" w:ascii="宋体" w:hAnsi="宋体" w:cs="仿宋"/>
          <w:sz w:val="32"/>
          <w:szCs w:val="32"/>
        </w:rPr>
        <w:t>2021年度“三公”经费预算支出比2020年度增加0万元。</w:t>
      </w:r>
    </w:p>
    <w:p>
      <w:pPr>
        <w:adjustRightInd w:val="0"/>
        <w:snapToGrid w:val="0"/>
        <w:spacing w:line="322" w:lineRule="auto"/>
        <w:ind w:firstLine="640" w:firstLineChars="200"/>
        <w:rPr>
          <w:rFonts w:ascii="宋体" w:hAnsi="宋体" w:cs="Times New Roman"/>
          <w:sz w:val="32"/>
          <w:szCs w:val="32"/>
        </w:rPr>
      </w:pPr>
      <w:r>
        <w:rPr>
          <w:rFonts w:hint="eastAsia" w:ascii="宋体" w:hAnsi="宋体" w:cs="Times New Roman"/>
          <w:sz w:val="32"/>
          <w:szCs w:val="32"/>
        </w:rPr>
        <w:t>三、事业运行经费预算安排使用情况说明</w:t>
      </w:r>
    </w:p>
    <w:p>
      <w:pPr>
        <w:adjustRightInd w:val="0"/>
        <w:snapToGrid w:val="0"/>
        <w:spacing w:line="322" w:lineRule="auto"/>
        <w:ind w:firstLine="624" w:firstLineChars="195"/>
        <w:rPr>
          <w:rFonts w:ascii="宋体" w:hAnsi="宋体" w:cs="仿宋"/>
          <w:sz w:val="32"/>
          <w:szCs w:val="32"/>
        </w:rPr>
      </w:pPr>
      <w:r>
        <w:rPr>
          <w:rFonts w:hint="eastAsia" w:ascii="宋体" w:hAnsi="宋体" w:cs="仿宋"/>
          <w:sz w:val="32"/>
          <w:szCs w:val="32"/>
        </w:rPr>
        <w:t>2021年事业运行经费预算安排20.79万元，比2020年预算增加0.81万元，增长4.05%，</w:t>
      </w:r>
      <w:r>
        <w:rPr>
          <w:rFonts w:hint="eastAsia" w:ascii="宋体" w:hAnsi="宋体" w:cs="宋体"/>
          <w:sz w:val="32"/>
          <w:szCs w:val="32"/>
        </w:rPr>
        <w:t>主要原因是人员增加。</w:t>
      </w:r>
      <w:r>
        <w:rPr>
          <w:rFonts w:hint="eastAsia" w:ascii="宋体" w:hAnsi="宋体" w:cs="仿宋"/>
          <w:sz w:val="32"/>
          <w:szCs w:val="32"/>
        </w:rPr>
        <w:t>其中：办公费9.79万元、印刷费2万元、手续费0.5万元、差旅费0.6万元、维修（护）费7.9万元。</w:t>
      </w:r>
    </w:p>
    <w:p>
      <w:pPr>
        <w:adjustRightInd w:val="0"/>
        <w:snapToGrid w:val="0"/>
        <w:spacing w:line="322" w:lineRule="auto"/>
        <w:ind w:firstLine="640" w:firstLineChars="200"/>
        <w:rPr>
          <w:rFonts w:ascii="宋体" w:hAnsi="宋体" w:cs="Times New Roman"/>
          <w:sz w:val="32"/>
          <w:szCs w:val="32"/>
        </w:rPr>
      </w:pPr>
      <w:r>
        <w:rPr>
          <w:rFonts w:hint="eastAsia" w:ascii="宋体" w:hAnsi="宋体" w:cs="Times New Roman"/>
          <w:sz w:val="32"/>
          <w:szCs w:val="32"/>
        </w:rPr>
        <w:t>四、国有资产占用情况说明</w:t>
      </w:r>
    </w:p>
    <w:p>
      <w:pPr>
        <w:adjustRightInd w:val="0"/>
        <w:snapToGrid w:val="0"/>
        <w:spacing w:line="322" w:lineRule="auto"/>
        <w:ind w:firstLine="640" w:firstLineChars="200"/>
        <w:rPr>
          <w:rFonts w:ascii="宋体" w:hAnsi="宋体" w:cs="仿宋"/>
          <w:sz w:val="32"/>
          <w:szCs w:val="32"/>
        </w:rPr>
      </w:pPr>
      <w:r>
        <w:rPr>
          <w:rFonts w:hint="eastAsia" w:ascii="宋体" w:hAnsi="宋体" w:cs="仿宋"/>
          <w:sz w:val="32"/>
          <w:szCs w:val="32"/>
        </w:rPr>
        <w:t>截至2020年12月31日，盘山县网格管理服务中心资产总额423.70万元。其中，流动资产109.75万元，固定资产313.95万元，无形资产0万元。固定资产中共有房屋面积0平方米，价值0万元;共有车辆0辆，价值0万元;单价100万元（含）以上的专用设备0万元；其他固定资产0万元。</w:t>
      </w:r>
    </w:p>
    <w:p>
      <w:pPr>
        <w:adjustRightInd w:val="0"/>
        <w:snapToGrid w:val="0"/>
        <w:spacing w:line="322" w:lineRule="auto"/>
        <w:ind w:firstLine="640" w:firstLineChars="200"/>
        <w:rPr>
          <w:rFonts w:ascii="宋体" w:hAnsi="宋体" w:cs="Times New Roman"/>
          <w:sz w:val="32"/>
          <w:szCs w:val="32"/>
        </w:rPr>
      </w:pPr>
      <w:r>
        <w:rPr>
          <w:rFonts w:hint="eastAsia" w:ascii="宋体" w:hAnsi="宋体" w:cs="Times New Roman"/>
          <w:sz w:val="32"/>
          <w:szCs w:val="32"/>
        </w:rPr>
        <w:t>五、政府采购安排情况说明</w:t>
      </w:r>
    </w:p>
    <w:p>
      <w:pPr>
        <w:adjustRightInd w:val="0"/>
        <w:snapToGrid w:val="0"/>
        <w:spacing w:line="322" w:lineRule="auto"/>
        <w:ind w:firstLine="624" w:firstLineChars="195"/>
        <w:rPr>
          <w:rFonts w:ascii="宋体" w:hAnsi="宋体" w:cs="仿宋"/>
          <w:sz w:val="32"/>
          <w:szCs w:val="32"/>
        </w:rPr>
      </w:pPr>
      <w:r>
        <w:rPr>
          <w:rFonts w:hint="eastAsia" w:ascii="宋体" w:hAnsi="宋体" w:cs="仿宋"/>
          <w:sz w:val="32"/>
          <w:szCs w:val="32"/>
        </w:rPr>
        <w:t>根据</w:t>
      </w:r>
      <w:r>
        <w:rPr>
          <w:rFonts w:hint="eastAsia" w:ascii="宋体" w:hAnsi="宋体" w:cs="仿宋"/>
          <w:color w:val="000000"/>
          <w:sz w:val="32"/>
          <w:szCs w:val="32"/>
        </w:rPr>
        <w:t>《关于批复2021年县本级部门预算的通知》（盘县财预发[2021]1号）</w:t>
      </w:r>
      <w:r>
        <w:rPr>
          <w:rFonts w:hint="eastAsia" w:ascii="宋体" w:hAnsi="宋体" w:cs="仿宋"/>
          <w:sz w:val="32"/>
          <w:szCs w:val="32"/>
        </w:rPr>
        <w:t>，支出预算中政府采购预算49.1万元，政府购买服务预算0万元。</w:t>
      </w:r>
    </w:p>
    <w:p>
      <w:pPr>
        <w:adjustRightInd w:val="0"/>
        <w:snapToGrid w:val="0"/>
        <w:spacing w:line="322" w:lineRule="auto"/>
        <w:ind w:firstLine="624" w:firstLineChars="195"/>
        <w:rPr>
          <w:rFonts w:ascii="宋体" w:hAnsi="宋体" w:cs="仿宋"/>
          <w:sz w:val="32"/>
          <w:szCs w:val="32"/>
        </w:rPr>
      </w:pPr>
      <w:r>
        <w:rPr>
          <w:rFonts w:hint="eastAsia" w:ascii="宋体" w:hAnsi="宋体" w:cs="仿宋"/>
          <w:sz w:val="32"/>
          <w:szCs w:val="32"/>
        </w:rPr>
        <w:t>政府采购项目如下：</w:t>
      </w:r>
    </w:p>
    <w:p>
      <w:pPr>
        <w:adjustRightInd w:val="0"/>
        <w:snapToGrid w:val="0"/>
        <w:spacing w:line="322" w:lineRule="auto"/>
        <w:ind w:firstLine="624" w:firstLineChars="195"/>
        <w:rPr>
          <w:rFonts w:ascii="宋体" w:hAnsi="宋体" w:cs="仿宋"/>
          <w:sz w:val="32"/>
          <w:szCs w:val="32"/>
        </w:rPr>
      </w:pPr>
      <w:r>
        <w:rPr>
          <w:rFonts w:hint="eastAsia" w:ascii="宋体" w:hAnsi="宋体" w:cs="仿宋"/>
          <w:sz w:val="32"/>
          <w:szCs w:val="32"/>
        </w:rPr>
        <w:t>1、网格平台技术服务及维护</w:t>
      </w:r>
      <w:r>
        <w:rPr>
          <w:rFonts w:hint="eastAsia" w:ascii="宋体" w:hAnsi="宋体" w:cs="仿宋"/>
          <w:sz w:val="32"/>
          <w:szCs w:val="32"/>
          <w:lang w:val="en-US" w:eastAsia="zh-CN"/>
        </w:rPr>
        <w:t>49.1</w:t>
      </w:r>
      <w:r>
        <w:rPr>
          <w:rFonts w:hint="eastAsia" w:ascii="宋体" w:hAnsi="宋体" w:cs="仿宋"/>
          <w:sz w:val="32"/>
          <w:szCs w:val="32"/>
        </w:rPr>
        <w:t>万元。</w:t>
      </w:r>
    </w:p>
    <w:p>
      <w:pPr>
        <w:adjustRightInd w:val="0"/>
        <w:snapToGrid w:val="0"/>
        <w:spacing w:line="322" w:lineRule="auto"/>
        <w:ind w:firstLine="640" w:firstLineChars="200"/>
        <w:rPr>
          <w:rFonts w:ascii="宋体" w:hAnsi="宋体" w:cs="宋体"/>
          <w:bCs/>
          <w:sz w:val="32"/>
          <w:szCs w:val="32"/>
        </w:rPr>
      </w:pPr>
      <w:r>
        <w:rPr>
          <w:rFonts w:hint="eastAsia" w:ascii="宋体" w:hAnsi="宋体" w:cs="宋体"/>
          <w:bCs/>
          <w:sz w:val="32"/>
          <w:szCs w:val="32"/>
        </w:rPr>
        <w:t>六、预算绩效管理工作开展情况</w:t>
      </w:r>
      <w:bookmarkStart w:id="0" w:name="_GoBack"/>
      <w:bookmarkEnd w:id="0"/>
    </w:p>
    <w:p>
      <w:pPr>
        <w:adjustRightInd w:val="0"/>
        <w:snapToGrid w:val="0"/>
        <w:spacing w:line="322" w:lineRule="auto"/>
        <w:ind w:firstLine="640" w:firstLineChars="200"/>
        <w:rPr>
          <w:rFonts w:ascii="宋体" w:hAnsi="宋体" w:cs="宋体"/>
          <w:sz w:val="32"/>
          <w:szCs w:val="32"/>
        </w:rPr>
      </w:pPr>
      <w:r>
        <w:rPr>
          <w:rFonts w:hint="eastAsia" w:ascii="宋体" w:hAnsi="宋体" w:cs="宋体"/>
          <w:sz w:val="32"/>
          <w:szCs w:val="32"/>
        </w:rPr>
        <w:t>根据预算绩效管理要求，盘山县网格管理服务中心，2021年应编制绩效目标的项目共4个，实际编制绩效目标的项目共4个，涉及资金162.56万元，编制绩效目标的项目覆盖率为100%。</w:t>
      </w:r>
    </w:p>
    <w:p>
      <w:pPr>
        <w:adjustRightInd w:val="0"/>
        <w:snapToGrid w:val="0"/>
        <w:spacing w:line="322" w:lineRule="auto"/>
        <w:ind w:firstLine="624" w:firstLineChars="195"/>
        <w:rPr>
          <w:rFonts w:ascii="宋体" w:hAnsi="宋体" w:cs="仿宋"/>
          <w:sz w:val="32"/>
          <w:szCs w:val="32"/>
        </w:rPr>
      </w:pPr>
    </w:p>
    <w:p>
      <w:pPr>
        <w:adjustRightInd w:val="0"/>
        <w:snapToGrid w:val="0"/>
        <w:spacing w:line="322" w:lineRule="auto"/>
        <w:jc w:val="center"/>
        <w:rPr>
          <w:rFonts w:ascii="宋体" w:hAnsi="宋体" w:cs="Times New Roman"/>
          <w:b/>
          <w:sz w:val="32"/>
          <w:szCs w:val="32"/>
        </w:rPr>
      </w:pPr>
      <w:r>
        <w:rPr>
          <w:rFonts w:hint="eastAsia" w:ascii="宋体" w:hAnsi="宋体" w:cs="Times New Roman"/>
          <w:b/>
          <w:sz w:val="32"/>
          <w:szCs w:val="32"/>
        </w:rPr>
        <w:t>第四部分 名词解释</w:t>
      </w:r>
    </w:p>
    <w:p>
      <w:pPr>
        <w:adjustRightInd w:val="0"/>
        <w:snapToGrid w:val="0"/>
        <w:spacing w:line="322" w:lineRule="auto"/>
        <w:jc w:val="center"/>
        <w:rPr>
          <w:rFonts w:ascii="宋体" w:hAnsi="宋体" w:cs="Times New Roman"/>
          <w:b/>
          <w:sz w:val="32"/>
          <w:szCs w:val="32"/>
        </w:rPr>
      </w:pPr>
    </w:p>
    <w:p>
      <w:pPr>
        <w:widowControl/>
        <w:shd w:val="clear" w:color="auto" w:fill="FFFFFF"/>
        <w:adjustRightInd w:val="0"/>
        <w:snapToGrid w:val="0"/>
        <w:spacing w:line="322" w:lineRule="auto"/>
        <w:ind w:firstLine="643" w:firstLineChars="200"/>
        <w:jc w:val="left"/>
        <w:rPr>
          <w:rFonts w:ascii="宋体" w:hAnsi="宋体" w:cs="宋体"/>
          <w:color w:val="000000"/>
          <w:kern w:val="0"/>
          <w:sz w:val="32"/>
          <w:szCs w:val="32"/>
        </w:rPr>
      </w:pPr>
      <w:r>
        <w:rPr>
          <w:rFonts w:hint="eastAsia" w:ascii="宋体" w:hAnsi="宋体" w:cs="宋体"/>
          <w:b/>
          <w:color w:val="000000"/>
          <w:kern w:val="0"/>
          <w:sz w:val="32"/>
          <w:szCs w:val="32"/>
        </w:rPr>
        <w:t>1.财政拨款收入：</w:t>
      </w:r>
      <w:r>
        <w:rPr>
          <w:rFonts w:hint="eastAsia" w:ascii="宋体" w:hAnsi="宋体" w:cs="宋体"/>
          <w:color w:val="000000"/>
          <w:kern w:val="0"/>
          <w:sz w:val="32"/>
          <w:szCs w:val="32"/>
        </w:rPr>
        <w:t>指县级财政当年拨付的资金。</w:t>
      </w:r>
    </w:p>
    <w:p>
      <w:pPr>
        <w:widowControl/>
        <w:shd w:val="clear" w:color="auto" w:fill="FFFFFF"/>
        <w:adjustRightInd w:val="0"/>
        <w:snapToGrid w:val="0"/>
        <w:spacing w:line="322" w:lineRule="auto"/>
        <w:ind w:firstLine="640"/>
        <w:jc w:val="left"/>
        <w:rPr>
          <w:rFonts w:ascii="宋体" w:hAnsi="宋体" w:cs="宋体"/>
          <w:color w:val="000000"/>
          <w:kern w:val="0"/>
          <w:sz w:val="32"/>
          <w:szCs w:val="32"/>
        </w:rPr>
      </w:pPr>
      <w:r>
        <w:rPr>
          <w:rFonts w:hint="eastAsia" w:ascii="宋体" w:hAnsi="宋体" w:cs="宋体"/>
          <w:b/>
          <w:color w:val="000000"/>
          <w:kern w:val="0"/>
          <w:sz w:val="32"/>
          <w:szCs w:val="32"/>
        </w:rPr>
        <w:t>2.上级补助收入：</w:t>
      </w:r>
      <w:r>
        <w:rPr>
          <w:rFonts w:hint="eastAsia" w:ascii="宋体" w:hAnsi="宋体" w:cs="宋体"/>
          <w:color w:val="000000"/>
          <w:kern w:val="0"/>
          <w:sz w:val="32"/>
          <w:szCs w:val="32"/>
        </w:rPr>
        <w:t>指单位从主管部门和上级单位取得的非财政性补助收入。</w:t>
      </w:r>
    </w:p>
    <w:p>
      <w:pPr>
        <w:widowControl/>
        <w:shd w:val="clear" w:color="auto" w:fill="FFFFFF"/>
        <w:adjustRightInd w:val="0"/>
        <w:snapToGrid w:val="0"/>
        <w:spacing w:line="322" w:lineRule="auto"/>
        <w:ind w:firstLine="640"/>
        <w:jc w:val="left"/>
        <w:rPr>
          <w:rFonts w:ascii="宋体" w:hAnsi="宋体" w:cs="宋体"/>
          <w:color w:val="000000"/>
          <w:kern w:val="0"/>
          <w:sz w:val="32"/>
          <w:szCs w:val="32"/>
        </w:rPr>
      </w:pPr>
      <w:r>
        <w:rPr>
          <w:rFonts w:hint="eastAsia" w:ascii="宋体" w:hAnsi="宋体" w:cs="宋体"/>
          <w:b/>
          <w:color w:val="000000"/>
          <w:kern w:val="0"/>
          <w:sz w:val="32"/>
          <w:szCs w:val="32"/>
        </w:rPr>
        <w:t>3.事业收入：</w:t>
      </w:r>
      <w:r>
        <w:rPr>
          <w:rFonts w:hint="eastAsia" w:ascii="宋体" w:hAnsi="宋体" w:cs="宋体"/>
          <w:color w:val="000000"/>
          <w:kern w:val="0"/>
          <w:sz w:val="32"/>
          <w:szCs w:val="32"/>
        </w:rPr>
        <w:t>指事业单位开展专业业务活动及辅助活动所取得的收入。</w:t>
      </w:r>
    </w:p>
    <w:p>
      <w:pPr>
        <w:widowControl/>
        <w:shd w:val="clear" w:color="auto" w:fill="FFFFFF"/>
        <w:adjustRightInd w:val="0"/>
        <w:snapToGrid w:val="0"/>
        <w:spacing w:line="322" w:lineRule="auto"/>
        <w:ind w:firstLine="640"/>
        <w:jc w:val="left"/>
        <w:rPr>
          <w:rFonts w:ascii="宋体" w:hAnsi="宋体" w:cs="宋体"/>
          <w:color w:val="000000"/>
          <w:kern w:val="0"/>
          <w:sz w:val="32"/>
          <w:szCs w:val="32"/>
        </w:rPr>
      </w:pPr>
      <w:r>
        <w:rPr>
          <w:rFonts w:hint="eastAsia" w:ascii="宋体" w:hAnsi="宋体" w:cs="宋体"/>
          <w:b/>
          <w:color w:val="000000"/>
          <w:kern w:val="0"/>
          <w:sz w:val="32"/>
          <w:szCs w:val="32"/>
        </w:rPr>
        <w:t>4.经营收入：</w:t>
      </w:r>
      <w:r>
        <w:rPr>
          <w:rFonts w:hint="eastAsia" w:ascii="宋体" w:hAnsi="宋体" w:cs="宋体"/>
          <w:color w:val="000000"/>
          <w:kern w:val="0"/>
          <w:sz w:val="32"/>
          <w:szCs w:val="32"/>
        </w:rPr>
        <w:t>指事业单位在专业业务活动及辅助活动之外开展非独立核算经营活动取得的收入。</w:t>
      </w:r>
    </w:p>
    <w:p>
      <w:pPr>
        <w:widowControl/>
        <w:shd w:val="clear" w:color="auto" w:fill="FFFFFF"/>
        <w:adjustRightInd w:val="0"/>
        <w:snapToGrid w:val="0"/>
        <w:spacing w:line="322" w:lineRule="auto"/>
        <w:ind w:firstLine="640"/>
        <w:jc w:val="left"/>
        <w:rPr>
          <w:rFonts w:ascii="宋体" w:hAnsi="宋体" w:cs="宋体"/>
          <w:color w:val="000000"/>
          <w:kern w:val="0"/>
          <w:sz w:val="32"/>
          <w:szCs w:val="32"/>
        </w:rPr>
      </w:pPr>
      <w:r>
        <w:rPr>
          <w:rFonts w:hint="eastAsia" w:ascii="宋体" w:hAnsi="宋体" w:cs="宋体"/>
          <w:b/>
          <w:color w:val="000000"/>
          <w:kern w:val="0"/>
          <w:sz w:val="32"/>
          <w:szCs w:val="32"/>
        </w:rPr>
        <w:t>5.附属单位上缴收入：</w:t>
      </w:r>
      <w:r>
        <w:rPr>
          <w:rFonts w:hint="eastAsia" w:ascii="宋体" w:hAnsi="宋体" w:cs="宋体"/>
          <w:color w:val="000000"/>
          <w:kern w:val="0"/>
          <w:sz w:val="32"/>
          <w:szCs w:val="32"/>
        </w:rPr>
        <w:t>指单位附属的独立核算单位按照规定上缴的收入。</w:t>
      </w:r>
    </w:p>
    <w:p>
      <w:pPr>
        <w:widowControl/>
        <w:shd w:val="clear" w:color="auto" w:fill="FFFFFF"/>
        <w:adjustRightInd w:val="0"/>
        <w:snapToGrid w:val="0"/>
        <w:spacing w:line="322" w:lineRule="auto"/>
        <w:ind w:firstLine="640"/>
        <w:jc w:val="left"/>
        <w:rPr>
          <w:rFonts w:ascii="宋体" w:hAnsi="宋体" w:cs="宋体"/>
          <w:color w:val="000000"/>
          <w:kern w:val="0"/>
          <w:sz w:val="32"/>
          <w:szCs w:val="32"/>
        </w:rPr>
      </w:pPr>
      <w:r>
        <w:rPr>
          <w:rFonts w:hint="eastAsia" w:ascii="宋体" w:hAnsi="宋体" w:cs="宋体"/>
          <w:b/>
          <w:color w:val="000000"/>
          <w:kern w:val="0"/>
          <w:sz w:val="32"/>
          <w:szCs w:val="32"/>
        </w:rPr>
        <w:t>6.其他收入：</w:t>
      </w:r>
      <w:r>
        <w:rPr>
          <w:rFonts w:hint="eastAsia" w:ascii="宋体" w:hAnsi="宋体" w:cs="宋体"/>
          <w:color w:val="000000"/>
          <w:kern w:val="0"/>
          <w:sz w:val="32"/>
          <w:szCs w:val="32"/>
        </w:rPr>
        <w:t>指除上述“财政拨款收入”、 “上级补助收入”、“事业收入”、“经营收入”、“附属单位上缴收入”等以外的收入。</w:t>
      </w:r>
    </w:p>
    <w:p>
      <w:pPr>
        <w:widowControl/>
        <w:shd w:val="clear" w:color="auto" w:fill="FFFFFF"/>
        <w:adjustRightInd w:val="0"/>
        <w:snapToGrid w:val="0"/>
        <w:spacing w:line="322" w:lineRule="auto"/>
        <w:ind w:firstLine="640"/>
        <w:jc w:val="left"/>
        <w:rPr>
          <w:rFonts w:ascii="宋体" w:hAnsi="宋体" w:cs="宋体"/>
          <w:color w:val="000000"/>
          <w:kern w:val="0"/>
          <w:sz w:val="32"/>
          <w:szCs w:val="32"/>
        </w:rPr>
      </w:pPr>
      <w:r>
        <w:rPr>
          <w:rFonts w:hint="eastAsia" w:ascii="宋体" w:hAnsi="宋体" w:cs="宋体"/>
          <w:b/>
          <w:color w:val="000000"/>
          <w:kern w:val="0"/>
          <w:sz w:val="32"/>
          <w:szCs w:val="32"/>
        </w:rPr>
        <w:t>7.用事业基金弥补收支差额：</w:t>
      </w:r>
      <w:r>
        <w:rPr>
          <w:rFonts w:hint="eastAsia" w:ascii="宋体" w:hAnsi="宋体" w:cs="宋体"/>
          <w:color w:val="000000"/>
          <w:kern w:val="0"/>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widowControl/>
        <w:shd w:val="clear" w:color="auto" w:fill="FFFFFF"/>
        <w:adjustRightInd w:val="0"/>
        <w:snapToGrid w:val="0"/>
        <w:spacing w:line="322" w:lineRule="auto"/>
        <w:ind w:firstLine="640"/>
        <w:jc w:val="left"/>
        <w:rPr>
          <w:rFonts w:ascii="宋体" w:hAnsi="宋体" w:cs="宋体"/>
          <w:color w:val="000000"/>
          <w:kern w:val="0"/>
          <w:sz w:val="32"/>
          <w:szCs w:val="32"/>
        </w:rPr>
      </w:pPr>
      <w:r>
        <w:rPr>
          <w:rFonts w:hint="eastAsia" w:ascii="宋体" w:hAnsi="宋体" w:cs="宋体"/>
          <w:b/>
          <w:color w:val="000000"/>
          <w:kern w:val="0"/>
          <w:sz w:val="32"/>
          <w:szCs w:val="32"/>
        </w:rPr>
        <w:t>8.上年结转和结余：</w:t>
      </w:r>
      <w:r>
        <w:rPr>
          <w:rFonts w:hint="eastAsia" w:ascii="宋体" w:hAnsi="宋体" w:cs="宋体"/>
          <w:color w:val="000000"/>
          <w:kern w:val="0"/>
          <w:sz w:val="32"/>
          <w:szCs w:val="32"/>
        </w:rPr>
        <w:t>指以前年度尚未完成、结转到本年按有关规定继续使用的资金。</w:t>
      </w:r>
    </w:p>
    <w:p>
      <w:pPr>
        <w:widowControl/>
        <w:shd w:val="clear" w:color="auto" w:fill="FFFFFF"/>
        <w:adjustRightInd w:val="0"/>
        <w:snapToGrid w:val="0"/>
        <w:spacing w:line="322" w:lineRule="auto"/>
        <w:ind w:firstLine="640"/>
        <w:jc w:val="left"/>
        <w:rPr>
          <w:rFonts w:ascii="宋体" w:hAnsi="宋体" w:cs="宋体"/>
          <w:color w:val="000000"/>
          <w:kern w:val="0"/>
          <w:sz w:val="32"/>
          <w:szCs w:val="32"/>
        </w:rPr>
      </w:pPr>
      <w:r>
        <w:rPr>
          <w:rFonts w:hint="eastAsia" w:ascii="宋体" w:hAnsi="宋体" w:cs="宋体"/>
          <w:b/>
          <w:color w:val="000000"/>
          <w:kern w:val="0"/>
          <w:sz w:val="32"/>
          <w:szCs w:val="32"/>
        </w:rPr>
        <w:t>9.基本支出：</w:t>
      </w:r>
      <w:r>
        <w:rPr>
          <w:rFonts w:hint="eastAsia" w:ascii="宋体" w:hAnsi="宋体" w:cs="宋体"/>
          <w:color w:val="000000"/>
          <w:kern w:val="0"/>
          <w:sz w:val="32"/>
          <w:szCs w:val="32"/>
        </w:rPr>
        <w:t>指保障机构正常运转、完成日常工作任务而发生的人员支出和公用支出。</w:t>
      </w:r>
    </w:p>
    <w:p>
      <w:pPr>
        <w:widowControl/>
        <w:shd w:val="clear" w:color="auto" w:fill="FFFFFF"/>
        <w:adjustRightInd w:val="0"/>
        <w:snapToGrid w:val="0"/>
        <w:spacing w:line="322" w:lineRule="auto"/>
        <w:ind w:firstLine="640"/>
        <w:jc w:val="left"/>
        <w:rPr>
          <w:rFonts w:ascii="宋体" w:hAnsi="宋体" w:cs="宋体"/>
          <w:color w:val="000000"/>
          <w:kern w:val="0"/>
          <w:sz w:val="32"/>
          <w:szCs w:val="32"/>
        </w:rPr>
      </w:pPr>
      <w:r>
        <w:rPr>
          <w:rFonts w:hint="eastAsia" w:ascii="宋体" w:hAnsi="宋体" w:cs="宋体"/>
          <w:b/>
          <w:color w:val="000000"/>
          <w:kern w:val="0"/>
          <w:sz w:val="32"/>
          <w:szCs w:val="32"/>
        </w:rPr>
        <w:t>10.项目支出：</w:t>
      </w:r>
      <w:r>
        <w:rPr>
          <w:rFonts w:hint="eastAsia" w:ascii="宋体" w:hAnsi="宋体" w:cs="宋体"/>
          <w:color w:val="000000"/>
          <w:kern w:val="0"/>
          <w:sz w:val="32"/>
          <w:szCs w:val="32"/>
        </w:rPr>
        <w:t>指在基本支出之外为完成特定行政任务和事业发展目标所发生的支出。</w:t>
      </w:r>
    </w:p>
    <w:p>
      <w:pPr>
        <w:widowControl/>
        <w:shd w:val="clear" w:color="auto" w:fill="FFFFFF"/>
        <w:adjustRightInd w:val="0"/>
        <w:snapToGrid w:val="0"/>
        <w:spacing w:line="322" w:lineRule="auto"/>
        <w:ind w:firstLine="640"/>
        <w:jc w:val="left"/>
        <w:rPr>
          <w:rFonts w:ascii="宋体" w:hAnsi="宋体" w:cs="宋体"/>
          <w:color w:val="000000"/>
          <w:kern w:val="0"/>
          <w:sz w:val="32"/>
          <w:szCs w:val="32"/>
        </w:rPr>
      </w:pPr>
      <w:r>
        <w:rPr>
          <w:rFonts w:hint="eastAsia" w:ascii="宋体" w:hAnsi="宋体" w:cs="宋体"/>
          <w:b/>
          <w:color w:val="000000"/>
          <w:kern w:val="0"/>
          <w:sz w:val="32"/>
          <w:szCs w:val="32"/>
        </w:rPr>
        <w:t>11.上缴上级支出：</w:t>
      </w:r>
      <w:r>
        <w:rPr>
          <w:rFonts w:hint="eastAsia" w:ascii="宋体" w:hAnsi="宋体" w:cs="宋体"/>
          <w:color w:val="000000"/>
          <w:kern w:val="0"/>
          <w:sz w:val="32"/>
          <w:szCs w:val="32"/>
        </w:rPr>
        <w:t>指事业单位按照财政部门和主管部门的规定上缴上级单位的支出。</w:t>
      </w:r>
    </w:p>
    <w:p>
      <w:pPr>
        <w:widowControl/>
        <w:shd w:val="clear" w:color="auto" w:fill="FFFFFF"/>
        <w:adjustRightInd w:val="0"/>
        <w:snapToGrid w:val="0"/>
        <w:spacing w:line="322" w:lineRule="auto"/>
        <w:ind w:firstLine="640"/>
        <w:jc w:val="left"/>
        <w:rPr>
          <w:rFonts w:ascii="宋体" w:hAnsi="宋体" w:cs="宋体"/>
          <w:color w:val="000000"/>
          <w:kern w:val="0"/>
          <w:sz w:val="32"/>
          <w:szCs w:val="32"/>
        </w:rPr>
      </w:pPr>
      <w:r>
        <w:rPr>
          <w:rFonts w:hint="eastAsia" w:ascii="宋体" w:hAnsi="宋体" w:cs="宋体"/>
          <w:b/>
          <w:color w:val="000000"/>
          <w:kern w:val="0"/>
          <w:sz w:val="32"/>
          <w:szCs w:val="32"/>
        </w:rPr>
        <w:t>12.经营支出：</w:t>
      </w:r>
      <w:r>
        <w:rPr>
          <w:rFonts w:hint="eastAsia" w:ascii="宋体" w:hAnsi="宋体" w:cs="宋体"/>
          <w:color w:val="000000"/>
          <w:kern w:val="0"/>
          <w:sz w:val="32"/>
          <w:szCs w:val="32"/>
        </w:rPr>
        <w:t>指事业单位在专业活动及辅助活动之外开展非独立核算经营活动发生的支出。</w:t>
      </w:r>
    </w:p>
    <w:p>
      <w:pPr>
        <w:widowControl/>
        <w:shd w:val="clear" w:color="auto" w:fill="FFFFFF"/>
        <w:adjustRightInd w:val="0"/>
        <w:snapToGrid w:val="0"/>
        <w:spacing w:line="322" w:lineRule="auto"/>
        <w:ind w:firstLine="640"/>
        <w:jc w:val="left"/>
        <w:rPr>
          <w:rFonts w:ascii="宋体" w:hAnsi="宋体" w:cs="宋体"/>
          <w:color w:val="000000"/>
          <w:kern w:val="0"/>
          <w:sz w:val="32"/>
          <w:szCs w:val="32"/>
        </w:rPr>
      </w:pPr>
      <w:r>
        <w:rPr>
          <w:rFonts w:hint="eastAsia" w:ascii="宋体" w:hAnsi="宋体" w:cs="宋体"/>
          <w:b/>
          <w:color w:val="000000"/>
          <w:kern w:val="0"/>
          <w:sz w:val="32"/>
          <w:szCs w:val="32"/>
        </w:rPr>
        <w:t>13.对附属单位补助支出：</w:t>
      </w:r>
      <w:r>
        <w:rPr>
          <w:rFonts w:hint="eastAsia" w:ascii="宋体" w:hAnsi="宋体" w:cs="宋体"/>
          <w:color w:val="000000"/>
          <w:kern w:val="0"/>
          <w:sz w:val="32"/>
          <w:szCs w:val="32"/>
        </w:rPr>
        <w:t>指事业单位用财政补助收入之外的收入对附属单位补助发生的支出。</w:t>
      </w:r>
    </w:p>
    <w:p>
      <w:pPr>
        <w:widowControl/>
        <w:shd w:val="clear" w:color="auto" w:fill="FFFFFF"/>
        <w:adjustRightInd w:val="0"/>
        <w:snapToGrid w:val="0"/>
        <w:spacing w:line="322" w:lineRule="auto"/>
        <w:ind w:firstLine="640"/>
        <w:jc w:val="left"/>
        <w:rPr>
          <w:rFonts w:ascii="宋体" w:hAnsi="宋体" w:cs="宋体"/>
          <w:color w:val="000000"/>
          <w:kern w:val="0"/>
          <w:sz w:val="32"/>
          <w:szCs w:val="32"/>
        </w:rPr>
      </w:pPr>
      <w:r>
        <w:rPr>
          <w:rFonts w:hint="eastAsia" w:ascii="宋体" w:hAnsi="宋体" w:cs="宋体"/>
          <w:b/>
          <w:color w:val="000000"/>
          <w:kern w:val="0"/>
          <w:sz w:val="32"/>
          <w:szCs w:val="32"/>
        </w:rPr>
        <w:t>14.“三公”经费：</w:t>
      </w:r>
      <w:r>
        <w:rPr>
          <w:rFonts w:hint="eastAsia" w:ascii="宋体" w:hAnsi="宋体" w:cs="宋体"/>
          <w:color w:val="000000"/>
          <w:kern w:val="0"/>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adjustRightInd w:val="0"/>
        <w:snapToGrid w:val="0"/>
        <w:spacing w:line="322" w:lineRule="auto"/>
        <w:ind w:firstLine="643" w:firstLineChars="200"/>
        <w:jc w:val="left"/>
        <w:rPr>
          <w:rFonts w:ascii="宋体" w:hAnsi="宋体"/>
          <w:sz w:val="32"/>
          <w:szCs w:val="32"/>
        </w:rPr>
      </w:pPr>
      <w:r>
        <w:rPr>
          <w:rFonts w:hint="eastAsia" w:ascii="宋体" w:hAnsi="宋体"/>
          <w:b/>
          <w:sz w:val="32"/>
          <w:szCs w:val="32"/>
        </w:rPr>
        <w:t>15.一般公共服务支出（类）政府办公厅（室）及相关机构事务（款）事业运行（项）：</w:t>
      </w:r>
      <w:r>
        <w:rPr>
          <w:rFonts w:hint="eastAsia" w:ascii="宋体" w:hAnsi="宋体"/>
          <w:sz w:val="32"/>
          <w:szCs w:val="32"/>
        </w:rPr>
        <w:t>反映事业单位（包括实行公务员管理的事业单位）的基本支出。</w:t>
      </w:r>
    </w:p>
    <w:p>
      <w:pPr>
        <w:adjustRightInd w:val="0"/>
        <w:snapToGrid w:val="0"/>
        <w:spacing w:line="322" w:lineRule="auto"/>
        <w:ind w:firstLine="643" w:firstLineChars="200"/>
        <w:jc w:val="left"/>
        <w:rPr>
          <w:rFonts w:ascii="宋体" w:hAnsi="宋体"/>
          <w:sz w:val="32"/>
          <w:szCs w:val="32"/>
        </w:rPr>
      </w:pPr>
      <w:r>
        <w:rPr>
          <w:rFonts w:hint="eastAsia" w:ascii="宋体" w:hAnsi="宋体"/>
          <w:b/>
          <w:sz w:val="32"/>
          <w:szCs w:val="32"/>
        </w:rPr>
        <w:t>16.一般公共服务支出（类）政府办公厅（室）及相关机构事务（款）其他政府办公厅（室）及相关机构事务支出（项）：</w:t>
      </w:r>
      <w:r>
        <w:rPr>
          <w:rFonts w:hint="eastAsia" w:ascii="宋体" w:hAnsi="宋体"/>
          <w:sz w:val="32"/>
          <w:szCs w:val="32"/>
        </w:rPr>
        <w:t>反映事业单位（包括实行公务员管理的事业单位）未单独设置项级科目的其他项目支出。</w:t>
      </w:r>
    </w:p>
    <w:p>
      <w:pPr>
        <w:adjustRightInd w:val="0"/>
        <w:snapToGrid w:val="0"/>
        <w:spacing w:line="322" w:lineRule="auto"/>
        <w:ind w:firstLine="643" w:firstLineChars="200"/>
        <w:jc w:val="left"/>
        <w:rPr>
          <w:rFonts w:ascii="宋体" w:hAnsi="宋体"/>
          <w:sz w:val="32"/>
          <w:szCs w:val="32"/>
        </w:rPr>
      </w:pPr>
      <w:r>
        <w:rPr>
          <w:rFonts w:hint="eastAsia" w:ascii="宋体" w:hAnsi="宋体"/>
          <w:b/>
          <w:sz w:val="32"/>
          <w:szCs w:val="32"/>
        </w:rPr>
        <w:t>17.一般公共服务支出（类）党委办公厅（室）及相关机构事务（款）其他党委办公厅（室）及相关机构事务（项）：</w:t>
      </w:r>
      <w:r>
        <w:rPr>
          <w:rFonts w:hint="eastAsia" w:ascii="宋体" w:hAnsi="宋体"/>
          <w:sz w:val="32"/>
          <w:szCs w:val="32"/>
        </w:rPr>
        <w:t>反映除上述项目以外其他用于党委办公厅（室）及相关机构事务支出。</w:t>
      </w:r>
    </w:p>
    <w:p>
      <w:pPr>
        <w:adjustRightInd w:val="0"/>
        <w:snapToGrid w:val="0"/>
        <w:spacing w:line="322" w:lineRule="auto"/>
        <w:ind w:firstLine="643" w:firstLineChars="200"/>
        <w:jc w:val="left"/>
        <w:rPr>
          <w:rFonts w:ascii="宋体" w:hAnsi="宋体"/>
          <w:bCs/>
          <w:sz w:val="32"/>
          <w:szCs w:val="32"/>
        </w:rPr>
      </w:pPr>
      <w:r>
        <w:rPr>
          <w:rFonts w:hint="eastAsia" w:ascii="宋体" w:hAnsi="宋体"/>
          <w:b/>
          <w:bCs/>
          <w:sz w:val="32"/>
          <w:szCs w:val="32"/>
        </w:rPr>
        <w:t>18.</w:t>
      </w:r>
      <w:r>
        <w:rPr>
          <w:rFonts w:hint="eastAsia" w:ascii="宋体" w:hAnsi="宋体"/>
          <w:b/>
          <w:sz w:val="32"/>
          <w:szCs w:val="32"/>
        </w:rPr>
        <w:t>社会保障和就业支出（类）民政管理事务（款）基层政权和社区治理（项）：</w:t>
      </w:r>
      <w:r>
        <w:rPr>
          <w:rFonts w:hint="eastAsia" w:ascii="宋体" w:hAnsi="宋体"/>
          <w:bCs/>
          <w:sz w:val="32"/>
          <w:szCs w:val="32"/>
        </w:rPr>
        <w:t>反映开展城乡社区治理、城乡社区服务（乡村便民服务）、村（居）民自治、村（居）务公开、乡镇（街道）服务能力建设等基层政权和社区建设治理工作的支出。</w:t>
      </w:r>
    </w:p>
    <w:p>
      <w:pPr>
        <w:adjustRightInd w:val="0"/>
        <w:snapToGrid w:val="0"/>
        <w:spacing w:line="322" w:lineRule="auto"/>
        <w:ind w:firstLine="643" w:firstLineChars="200"/>
        <w:jc w:val="left"/>
        <w:rPr>
          <w:rFonts w:ascii="宋体" w:hAnsi="宋体"/>
          <w:sz w:val="32"/>
          <w:szCs w:val="32"/>
        </w:rPr>
      </w:pPr>
      <w:r>
        <w:rPr>
          <w:rFonts w:hint="eastAsia" w:ascii="宋体" w:hAnsi="宋体"/>
          <w:b/>
          <w:sz w:val="32"/>
          <w:szCs w:val="32"/>
        </w:rPr>
        <w:t>19.社会保障和就业支出（类）行政事业单位养老支出（款）机关事业单位基本养老保险缴费支出（项）：</w:t>
      </w:r>
      <w:r>
        <w:rPr>
          <w:rFonts w:hint="eastAsia" w:ascii="宋体" w:hAnsi="宋体"/>
          <w:sz w:val="32"/>
          <w:szCs w:val="32"/>
        </w:rPr>
        <w:t>反映机关事业单位实施养老保险制度由单位缴纳的基本养老保险费支出。</w:t>
      </w:r>
    </w:p>
    <w:p>
      <w:pPr>
        <w:adjustRightInd w:val="0"/>
        <w:snapToGrid w:val="0"/>
        <w:spacing w:line="322" w:lineRule="auto"/>
        <w:ind w:firstLine="643" w:firstLineChars="200"/>
        <w:jc w:val="left"/>
        <w:rPr>
          <w:rFonts w:ascii="宋体" w:hAnsi="宋体"/>
          <w:sz w:val="32"/>
          <w:szCs w:val="32"/>
        </w:rPr>
      </w:pPr>
      <w:r>
        <w:rPr>
          <w:rFonts w:hint="eastAsia" w:ascii="宋体" w:hAnsi="宋体"/>
          <w:b/>
          <w:sz w:val="32"/>
          <w:szCs w:val="32"/>
        </w:rPr>
        <w:t>20.社会保障和就业支出（类）行政事业单位养老支出（款）机关事业单位职业年金缴费支出（项）：</w:t>
      </w:r>
      <w:r>
        <w:rPr>
          <w:rFonts w:hint="eastAsia" w:ascii="宋体" w:hAnsi="宋体"/>
          <w:sz w:val="32"/>
          <w:szCs w:val="32"/>
        </w:rPr>
        <w:t>反映机关事业单位实施养老保险制度由单位实际缴纳的职业年金支出。</w:t>
      </w:r>
    </w:p>
    <w:p>
      <w:pPr>
        <w:adjustRightInd w:val="0"/>
        <w:snapToGrid w:val="0"/>
        <w:spacing w:line="322" w:lineRule="auto"/>
        <w:ind w:firstLine="643" w:firstLineChars="200"/>
        <w:jc w:val="left"/>
        <w:rPr>
          <w:rFonts w:ascii="宋体" w:hAnsi="宋体"/>
          <w:sz w:val="32"/>
          <w:szCs w:val="32"/>
        </w:rPr>
      </w:pPr>
      <w:r>
        <w:rPr>
          <w:rFonts w:hint="eastAsia" w:ascii="宋体" w:hAnsi="宋体"/>
          <w:b/>
          <w:sz w:val="32"/>
          <w:szCs w:val="32"/>
        </w:rPr>
        <w:t>21.社会保障和就业支出（类）财政对其他社会保险基金的补助（款）财政对失业保险基金的补助（项）：</w:t>
      </w:r>
      <w:r>
        <w:rPr>
          <w:rFonts w:hint="eastAsia" w:ascii="宋体" w:hAnsi="宋体"/>
          <w:sz w:val="32"/>
          <w:szCs w:val="32"/>
        </w:rPr>
        <w:t>反映财政对失业保险基金的补助支出。</w:t>
      </w:r>
    </w:p>
    <w:p>
      <w:pPr>
        <w:adjustRightInd w:val="0"/>
        <w:snapToGrid w:val="0"/>
        <w:spacing w:line="322" w:lineRule="auto"/>
        <w:ind w:firstLine="643" w:firstLineChars="200"/>
        <w:jc w:val="left"/>
        <w:rPr>
          <w:rFonts w:ascii="宋体" w:hAnsi="宋体"/>
          <w:sz w:val="32"/>
          <w:szCs w:val="32"/>
        </w:rPr>
      </w:pPr>
      <w:r>
        <w:rPr>
          <w:rFonts w:hint="eastAsia" w:ascii="宋体" w:hAnsi="宋体"/>
          <w:b/>
          <w:sz w:val="32"/>
          <w:szCs w:val="32"/>
        </w:rPr>
        <w:t>22.社会保障和就业支出（类）财政对其他社会保险基金的补助（款）财政对工伤保险基金的补助（项）：</w:t>
      </w:r>
      <w:r>
        <w:rPr>
          <w:rFonts w:hint="eastAsia" w:ascii="宋体" w:hAnsi="宋体"/>
          <w:sz w:val="32"/>
          <w:szCs w:val="32"/>
        </w:rPr>
        <w:t>反映财政对工伤保险基金的补助支出。</w:t>
      </w:r>
    </w:p>
    <w:p>
      <w:pPr>
        <w:adjustRightInd w:val="0"/>
        <w:snapToGrid w:val="0"/>
        <w:spacing w:line="322" w:lineRule="auto"/>
        <w:ind w:firstLine="643" w:firstLineChars="200"/>
        <w:jc w:val="left"/>
        <w:rPr>
          <w:rFonts w:ascii="宋体" w:hAnsi="宋体"/>
          <w:sz w:val="32"/>
          <w:szCs w:val="32"/>
        </w:rPr>
      </w:pPr>
      <w:r>
        <w:rPr>
          <w:rFonts w:hint="eastAsia" w:ascii="宋体" w:hAnsi="宋体" w:cs="宋体"/>
          <w:b/>
          <w:kern w:val="0"/>
          <w:sz w:val="32"/>
          <w:szCs w:val="32"/>
        </w:rPr>
        <w:t>23．卫生健康支出（类）行政事业单位医疗（款）</w:t>
      </w:r>
      <w:r>
        <w:rPr>
          <w:rFonts w:hint="eastAsia" w:ascii="宋体" w:hAnsi="宋体" w:cs="宋体"/>
          <w:kern w:val="0"/>
          <w:sz w:val="32"/>
          <w:szCs w:val="32"/>
        </w:rPr>
        <w:t xml:space="preserve"> </w:t>
      </w:r>
      <w:r>
        <w:rPr>
          <w:rFonts w:hint="eastAsia" w:ascii="宋体" w:hAnsi="宋体" w:cs="宋体"/>
          <w:b/>
          <w:kern w:val="0"/>
          <w:sz w:val="32"/>
          <w:szCs w:val="32"/>
        </w:rPr>
        <w:t>事业单位医疗（项）：</w:t>
      </w:r>
      <w:r>
        <w:rPr>
          <w:rFonts w:hint="eastAsia" w:ascii="宋体" w:hAnsi="宋体" w:cs="宋体"/>
          <w:kern w:val="0"/>
          <w:sz w:val="32"/>
          <w:szCs w:val="32"/>
        </w:rPr>
        <w:t>反映财政部门安排的事业单位基本医疗保险缴费经费，未参加医疗保险的事业单位的公费医疗经费，按国家规定享受离休人员待遇的医疗经费。</w:t>
      </w:r>
    </w:p>
    <w:p>
      <w:pPr>
        <w:adjustRightInd w:val="0"/>
        <w:snapToGrid w:val="0"/>
        <w:spacing w:line="322" w:lineRule="auto"/>
        <w:ind w:firstLine="643" w:firstLineChars="200"/>
        <w:jc w:val="left"/>
        <w:rPr>
          <w:rFonts w:ascii="宋体" w:hAnsi="宋体" w:cs="宋体"/>
          <w:kern w:val="0"/>
          <w:sz w:val="32"/>
          <w:szCs w:val="32"/>
        </w:rPr>
      </w:pPr>
      <w:r>
        <w:rPr>
          <w:rFonts w:hint="eastAsia" w:ascii="宋体" w:hAnsi="宋体" w:cs="宋体"/>
          <w:b/>
          <w:kern w:val="0"/>
          <w:sz w:val="32"/>
          <w:szCs w:val="32"/>
        </w:rPr>
        <w:t>24．住房保障支出（类）住房改革支出（款）</w:t>
      </w:r>
      <w:r>
        <w:rPr>
          <w:rFonts w:hint="eastAsia" w:ascii="宋体" w:hAnsi="宋体" w:cs="宋体"/>
          <w:kern w:val="0"/>
          <w:sz w:val="32"/>
          <w:szCs w:val="32"/>
        </w:rPr>
        <w:t xml:space="preserve"> </w:t>
      </w:r>
      <w:r>
        <w:rPr>
          <w:rFonts w:hint="eastAsia" w:ascii="宋体" w:hAnsi="宋体" w:cs="宋体"/>
          <w:b/>
          <w:kern w:val="0"/>
          <w:sz w:val="32"/>
          <w:szCs w:val="32"/>
        </w:rPr>
        <w:t>住房公积金（项）：</w:t>
      </w:r>
      <w:r>
        <w:rPr>
          <w:rFonts w:hint="eastAsia" w:ascii="宋体" w:hAnsi="宋体" w:cs="宋体"/>
          <w:kern w:val="0"/>
          <w:sz w:val="32"/>
          <w:szCs w:val="32"/>
        </w:rPr>
        <w:t>反映行政事业单位按人力资源和社会保障部、财政部规定的基本工资和津贴补贴以及规定比例为职工缴纳的住房公积金。</w:t>
      </w:r>
    </w:p>
    <w:p>
      <w:pPr>
        <w:adjustRightInd w:val="0"/>
        <w:snapToGrid w:val="0"/>
        <w:spacing w:line="322" w:lineRule="auto"/>
        <w:rPr>
          <w:rFonts w:ascii="宋体" w:hAnsi="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33804196">
    <w:nsid w:val="37A8B8A4"/>
    <w:multiLevelType w:val="singleLevel"/>
    <w:tmpl w:val="37A8B8A4"/>
    <w:lvl w:ilvl="0" w:tentative="1">
      <w:start w:val="7"/>
      <w:numFmt w:val="chineseCounting"/>
      <w:suff w:val="nothing"/>
      <w:lvlText w:val="%1、"/>
      <w:lvlJc w:val="left"/>
      <w:rPr>
        <w:rFonts w:hint="eastAsia"/>
      </w:rPr>
    </w:lvl>
  </w:abstractNum>
  <w:num w:numId="1">
    <w:abstractNumId w:val="9338041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2B1577"/>
    <w:rsid w:val="00034695"/>
    <w:rsid w:val="000548F3"/>
    <w:rsid w:val="00054B3B"/>
    <w:rsid w:val="000648DA"/>
    <w:rsid w:val="000B496C"/>
    <w:rsid w:val="000B513E"/>
    <w:rsid w:val="0011489C"/>
    <w:rsid w:val="001168AF"/>
    <w:rsid w:val="00142656"/>
    <w:rsid w:val="001741AB"/>
    <w:rsid w:val="001804D7"/>
    <w:rsid w:val="001912FC"/>
    <w:rsid w:val="001B3448"/>
    <w:rsid w:val="001D595E"/>
    <w:rsid w:val="001F5A71"/>
    <w:rsid w:val="002205A4"/>
    <w:rsid w:val="002255D7"/>
    <w:rsid w:val="00231CD4"/>
    <w:rsid w:val="0024385C"/>
    <w:rsid w:val="0027771D"/>
    <w:rsid w:val="00281DE0"/>
    <w:rsid w:val="002B1577"/>
    <w:rsid w:val="002B1674"/>
    <w:rsid w:val="002B1DFD"/>
    <w:rsid w:val="002C336B"/>
    <w:rsid w:val="002E09E4"/>
    <w:rsid w:val="002E2893"/>
    <w:rsid w:val="002E47A2"/>
    <w:rsid w:val="002F3FDA"/>
    <w:rsid w:val="002F62BD"/>
    <w:rsid w:val="002F6FA8"/>
    <w:rsid w:val="00330A4D"/>
    <w:rsid w:val="003A08D2"/>
    <w:rsid w:val="003D07E2"/>
    <w:rsid w:val="003F18FE"/>
    <w:rsid w:val="00412110"/>
    <w:rsid w:val="00422A7A"/>
    <w:rsid w:val="004B05BA"/>
    <w:rsid w:val="004B1C0B"/>
    <w:rsid w:val="004D66FA"/>
    <w:rsid w:val="004E0AE9"/>
    <w:rsid w:val="004E2CF0"/>
    <w:rsid w:val="004F098F"/>
    <w:rsid w:val="005324B9"/>
    <w:rsid w:val="00585ECF"/>
    <w:rsid w:val="005E4DEE"/>
    <w:rsid w:val="0063168A"/>
    <w:rsid w:val="006318C5"/>
    <w:rsid w:val="006A3043"/>
    <w:rsid w:val="006B2B2B"/>
    <w:rsid w:val="006B7A13"/>
    <w:rsid w:val="006C2521"/>
    <w:rsid w:val="006E7A9D"/>
    <w:rsid w:val="00730378"/>
    <w:rsid w:val="007A23CD"/>
    <w:rsid w:val="007A2C74"/>
    <w:rsid w:val="007B1976"/>
    <w:rsid w:val="007B49DA"/>
    <w:rsid w:val="00815BCB"/>
    <w:rsid w:val="00823094"/>
    <w:rsid w:val="0089728B"/>
    <w:rsid w:val="008A2FAB"/>
    <w:rsid w:val="008A737A"/>
    <w:rsid w:val="008D2901"/>
    <w:rsid w:val="008D4142"/>
    <w:rsid w:val="008E357D"/>
    <w:rsid w:val="008E676D"/>
    <w:rsid w:val="008F3487"/>
    <w:rsid w:val="00934BB7"/>
    <w:rsid w:val="00941D48"/>
    <w:rsid w:val="00961E07"/>
    <w:rsid w:val="009B0C9A"/>
    <w:rsid w:val="009C5B1C"/>
    <w:rsid w:val="00A0379D"/>
    <w:rsid w:val="00A13039"/>
    <w:rsid w:val="00A33E3C"/>
    <w:rsid w:val="00A73851"/>
    <w:rsid w:val="00A77EA4"/>
    <w:rsid w:val="00AB0F6E"/>
    <w:rsid w:val="00AF6E8C"/>
    <w:rsid w:val="00B10BA4"/>
    <w:rsid w:val="00B50567"/>
    <w:rsid w:val="00B71F8E"/>
    <w:rsid w:val="00B87C50"/>
    <w:rsid w:val="00B87C7F"/>
    <w:rsid w:val="00B87EDB"/>
    <w:rsid w:val="00B95096"/>
    <w:rsid w:val="00BB0FDD"/>
    <w:rsid w:val="00BB3DC7"/>
    <w:rsid w:val="00BD1CEB"/>
    <w:rsid w:val="00C06C5A"/>
    <w:rsid w:val="00C12511"/>
    <w:rsid w:val="00C23D52"/>
    <w:rsid w:val="00C33834"/>
    <w:rsid w:val="00C37710"/>
    <w:rsid w:val="00C90711"/>
    <w:rsid w:val="00C95B89"/>
    <w:rsid w:val="00C97342"/>
    <w:rsid w:val="00CA3B2A"/>
    <w:rsid w:val="00CA6A70"/>
    <w:rsid w:val="00CD0701"/>
    <w:rsid w:val="00D20BF7"/>
    <w:rsid w:val="00D3542F"/>
    <w:rsid w:val="00D473EE"/>
    <w:rsid w:val="00D50E32"/>
    <w:rsid w:val="00D932D8"/>
    <w:rsid w:val="00D93CE3"/>
    <w:rsid w:val="00D94F63"/>
    <w:rsid w:val="00D9777E"/>
    <w:rsid w:val="00DA6DA7"/>
    <w:rsid w:val="00DC395F"/>
    <w:rsid w:val="00DC39B1"/>
    <w:rsid w:val="00DD271D"/>
    <w:rsid w:val="00E05EA3"/>
    <w:rsid w:val="00E14361"/>
    <w:rsid w:val="00E27E0E"/>
    <w:rsid w:val="00E8201B"/>
    <w:rsid w:val="00EC38E5"/>
    <w:rsid w:val="00EC4253"/>
    <w:rsid w:val="00EE1029"/>
    <w:rsid w:val="00EE11FB"/>
    <w:rsid w:val="00EF0411"/>
    <w:rsid w:val="00F233EA"/>
    <w:rsid w:val="00F32C7F"/>
    <w:rsid w:val="00F35B70"/>
    <w:rsid w:val="00F42F1F"/>
    <w:rsid w:val="00F647DB"/>
    <w:rsid w:val="00F71C69"/>
    <w:rsid w:val="00F81528"/>
    <w:rsid w:val="00F81565"/>
    <w:rsid w:val="00FB51FD"/>
    <w:rsid w:val="00FD04CF"/>
    <w:rsid w:val="0D1250B6"/>
    <w:rsid w:val="26822455"/>
    <w:rsid w:val="2F2D55B3"/>
    <w:rsid w:val="367950E6"/>
    <w:rsid w:val="45AC6A5D"/>
    <w:rsid w:val="47B06561"/>
    <w:rsid w:val="58091DB9"/>
    <w:rsid w:val="7CF1329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11"/>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rPr/>
  </w:style>
  <w:style w:type="paragraph" w:customStyle="1" w:styleId="8">
    <w:name w:val="List Paragraph"/>
    <w:basedOn w:val="1"/>
    <w:qFormat/>
    <w:uiPriority w:val="34"/>
    <w:pPr>
      <w:ind w:firstLine="420" w:firstLineChars="200"/>
    </w:pPr>
  </w:style>
  <w:style w:type="character" w:customStyle="1" w:styleId="9">
    <w:name w:val="页眉 Char"/>
    <w:basedOn w:val="5"/>
    <w:link w:val="4"/>
    <w:qFormat/>
    <w:uiPriority w:val="99"/>
    <w:rPr>
      <w:sz w:val="18"/>
      <w:szCs w:val="18"/>
    </w:rPr>
  </w:style>
  <w:style w:type="character" w:customStyle="1" w:styleId="10">
    <w:name w:val="页脚 Char"/>
    <w:basedOn w:val="5"/>
    <w:link w:val="3"/>
    <w:qFormat/>
    <w:uiPriority w:val="99"/>
    <w:rPr>
      <w:sz w:val="18"/>
      <w:szCs w:val="18"/>
    </w:r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621</Words>
  <Characters>3545</Characters>
  <Lines>29</Lines>
  <Paragraphs>8</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2019-01-03T03:55:00Z</dcterms:created>
  <dc:creator>P</dc:creator>
  <cp:lastModifiedBy>Lenovo</cp:lastModifiedBy>
  <cp:lastPrinted>2020-02-28T02:16:00Z</cp:lastPrinted>
  <dcterms:modified xsi:type="dcterms:W3CDTF">2021-03-19T08:07:33Z</dcterms:modified>
  <dc:title>盘山县网格管理服务中心</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