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val="en-US" w:eastAsia="zh-CN"/>
        </w:rPr>
        <w:t>交通事务服务中心</w:t>
      </w: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lang w:eastAsia="zh-CN"/>
        </w:rPr>
        <w:t>年度部门预算</w:t>
      </w:r>
    </w:p>
    <w:p>
      <w:pPr>
        <w:spacing w:line="540" w:lineRule="exact"/>
        <w:jc w:val="center"/>
        <w:rPr>
          <w:rFonts w:hint="eastAsia"/>
          <w:b/>
          <w:sz w:val="44"/>
          <w:szCs w:val="44"/>
          <w:u w:val="single"/>
        </w:rPr>
      </w:pPr>
    </w:p>
    <w:p>
      <w:pPr>
        <w:spacing w:line="540" w:lineRule="exact"/>
        <w:jc w:val="center"/>
        <w:rPr>
          <w:rFonts w:hint="eastAsia"/>
          <w:b/>
          <w:sz w:val="32"/>
          <w:szCs w:val="32"/>
        </w:rPr>
      </w:pPr>
      <w:r>
        <w:rPr>
          <w:rFonts w:hint="eastAsia"/>
          <w:b/>
          <w:sz w:val="32"/>
          <w:szCs w:val="32"/>
        </w:rPr>
        <w:t>目    录</w:t>
      </w:r>
    </w:p>
    <w:p>
      <w:pPr>
        <w:spacing w:line="5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第一部分  </w:t>
      </w:r>
      <w:r>
        <w:rPr>
          <w:rFonts w:hint="eastAsia" w:ascii="黑体" w:hAnsi="黑体" w:eastAsia="黑体" w:cs="黑体"/>
          <w:bCs/>
          <w:sz w:val="28"/>
          <w:szCs w:val="28"/>
          <w:lang w:eastAsia="zh-CN"/>
        </w:rPr>
        <w:t>盘锦市兴隆台区</w:t>
      </w:r>
      <w:r>
        <w:rPr>
          <w:rFonts w:hint="eastAsia" w:ascii="黑体" w:hAnsi="黑体" w:eastAsia="黑体" w:cs="黑体"/>
          <w:b w:val="0"/>
          <w:bCs/>
          <w:sz w:val="28"/>
          <w:szCs w:val="28"/>
          <w:lang w:val="en-US" w:eastAsia="zh-CN"/>
        </w:rPr>
        <w:t>交通事务服务中心</w:t>
      </w:r>
      <w:r>
        <w:rPr>
          <w:rFonts w:hint="eastAsia" w:ascii="黑体" w:hAnsi="黑体" w:eastAsia="黑体" w:cs="黑体"/>
          <w:sz w:val="28"/>
          <w:szCs w:val="28"/>
        </w:rPr>
        <w:t>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left="2598" w:leftChars="304" w:hanging="1960" w:hangingChars="700"/>
        <w:rPr>
          <w:rFonts w:hint="eastAsia" w:ascii="黑体" w:hAnsi="黑体" w:eastAsia="黑体" w:cs="黑体"/>
          <w:b/>
          <w:sz w:val="28"/>
          <w:szCs w:val="28"/>
        </w:rPr>
      </w:pPr>
      <w:r>
        <w:rPr>
          <w:rFonts w:hint="eastAsia" w:ascii="黑体" w:hAnsi="黑体" w:eastAsia="黑体" w:cs="黑体"/>
          <w:sz w:val="28"/>
          <w:szCs w:val="28"/>
        </w:rPr>
        <w:t xml:space="preserve">第二部分 </w:t>
      </w:r>
      <w:r>
        <w:rPr>
          <w:rFonts w:hint="eastAsia" w:ascii="黑体" w:hAnsi="黑体" w:eastAsia="黑体" w:cs="黑体"/>
          <w:bCs/>
          <w:sz w:val="28"/>
          <w:szCs w:val="28"/>
          <w:lang w:eastAsia="zh-CN"/>
        </w:rPr>
        <w:t>盘锦市兴隆台区</w:t>
      </w:r>
      <w:r>
        <w:rPr>
          <w:rFonts w:hint="eastAsia" w:ascii="黑体" w:hAnsi="黑体" w:eastAsia="黑体" w:cs="黑体"/>
          <w:b w:val="0"/>
          <w:bCs/>
          <w:sz w:val="28"/>
          <w:szCs w:val="28"/>
          <w:lang w:val="en-US" w:eastAsia="zh-CN"/>
        </w:rPr>
        <w:t>交通事务服务中心</w:t>
      </w:r>
      <w:r>
        <w:rPr>
          <w:rFonts w:hint="eastAsia" w:ascii="黑体" w:hAnsi="黑体" w:eastAsia="黑体" w:cs="黑体"/>
          <w:sz w:val="28"/>
          <w:szCs w:val="28"/>
        </w:rPr>
        <w:t>202</w:t>
      </w:r>
      <w:r>
        <w:rPr>
          <w:rFonts w:hint="eastAsia" w:ascii="黑体" w:hAnsi="黑体" w:eastAsia="黑体" w:cs="黑体"/>
          <w:sz w:val="28"/>
          <w:szCs w:val="28"/>
          <w:lang w:val="en-US" w:eastAsia="zh-CN"/>
        </w:rPr>
        <w:t>2</w:t>
      </w:r>
      <w:r>
        <w:rPr>
          <w:rFonts w:hint="eastAsia" w:ascii="黑体" w:hAnsi="黑体" w:eastAsia="黑体" w:cs="黑体"/>
          <w:sz w:val="28"/>
          <w:szCs w:val="28"/>
        </w:rPr>
        <w:t>年度部门预算公开表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年度部门（单位）整体绩效目标表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rPr>
        <w:t>2022年度部门预算项目（政策）绩效目标表</w:t>
      </w:r>
    </w:p>
    <w:p>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val="en-US" w:eastAsia="zh-CN"/>
        </w:rPr>
        <w:t xml:space="preserve">交通运输事务服务中心     </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rPr>
          <w:rFonts w:hint="eastAsia"/>
          <w:b/>
          <w:sz w:val="44"/>
          <w:szCs w:val="44"/>
          <w:u w:val="single"/>
        </w:rPr>
      </w:pP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pPr>
        <w:numPr>
          <w:ilvl w:val="0"/>
          <w:numId w:val="0"/>
        </w:numPr>
        <w:spacing w:line="600" w:lineRule="exact"/>
        <w:jc w:val="center"/>
        <w:rPr>
          <w:rFonts w:hint="default" w:ascii="方正小标宋_GBK" w:hAnsi="方正小标宋_GBK" w:eastAsia="方正小标宋_GBK" w:cs="方正小标宋_GBK"/>
          <w:bCs/>
          <w:sz w:val="44"/>
          <w:szCs w:val="44"/>
          <w:lang w:val="en-US"/>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val="en-US" w:eastAsia="zh-CN"/>
        </w:rPr>
        <w:t>交通事务服务中心</w:t>
      </w: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(一)贯彻执行国家、省、市有关交通建设工程质量、施工安全生产、交通建设造价的方针政策、法律法规和规章。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(二)负责区域管理权限内公路、水运工程及其附属工程等交通建设工程的新建、改建、扩建、大中修等项目信息采集、整理、招投标等前期工作和工程建设有关服务工作以及工程质量、施工安全的监督工作。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(三)负责区域管理权限内交通建设工程质量检测、评定、鉴定工作；参与交通建设工程竣(交)工验收,并根据竣工验收结论出具公路工程参建单位工作综合评价等级证书。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四)负责区域管理权限内交通建设工程项目的勘察、设计、施工和监理单位质量保证体系及其运转情况的监督检查,调查工程质量事故,仲裁工程质量争议;承担受监交通建设工程的交工验证性检测、竣工质量鉴定的具体工作,并对验证性检测意见和质量鉴定报告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五)负责区域管理权限内在建公路工程、客运站场、水运工程等施工安全的监督检查;参与从业单位及其人员的安全信用评价工作;参与对建设工程安全事故调查、处理、分析、报告;协助省、市对辖区内干线公路等施工安全进行监督检查；监督检查全区交通建设从业单位及人员资质、资信及质量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(六)做好交通建设工程项目的监督检查,加强日常巡查,及时向交通综合行政执法机构抄报交通建设质量和安全违法违规行为,协助执法部门查处违法违规行为。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(七)承担区域管理权限内交通建设项目估算、概算、预算、决算(含变更单价、材料调差)等的造价审核和造价监督检查工作;承办全区交通建设工程材料价格信息管理;调解工程造价争议。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40" w:firstLineChars="10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（八）承担区交通运输综合行政执法有关服务工作；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40" w:firstLineChars="100"/>
        <w:jc w:val="both"/>
        <w:rPr>
          <w:rFonts w:hint="eastAsia" w:ascii="微软雅黑" w:hAnsi="微软雅黑" w:eastAsia="微软雅黑" w:cs="微软雅黑"/>
          <w:i w:val="0"/>
          <w:iCs w:val="0"/>
          <w:caps w:val="0"/>
          <w:color w:val="333333"/>
          <w:spacing w:val="0"/>
          <w:sz w:val="24"/>
          <w:szCs w:val="24"/>
          <w:shd w:val="clear" w:color="auto" w:fill="FFFFFF"/>
          <w:lang w:eastAsia="zh-CN"/>
        </w:rPr>
      </w:pPr>
      <w:r>
        <w:rPr>
          <w:rFonts w:hint="eastAsia" w:ascii="微软雅黑" w:hAnsi="微软雅黑" w:eastAsia="微软雅黑" w:cs="微软雅黑"/>
          <w:i w:val="0"/>
          <w:iCs w:val="0"/>
          <w:caps w:val="0"/>
          <w:color w:val="333333"/>
          <w:spacing w:val="0"/>
          <w:sz w:val="24"/>
          <w:szCs w:val="24"/>
          <w:shd w:val="clear" w:color="auto" w:fill="FFFFFF"/>
        </w:rPr>
        <w:t>（九）承担区交通运输局交办的其他工作</w:t>
      </w:r>
      <w:r>
        <w:rPr>
          <w:rFonts w:hint="eastAsia" w:ascii="微软雅黑" w:hAnsi="微软雅黑" w:eastAsia="微软雅黑" w:cs="微软雅黑"/>
          <w:i w:val="0"/>
          <w:iCs w:val="0"/>
          <w:caps w:val="0"/>
          <w:color w:val="333333"/>
          <w:spacing w:val="0"/>
          <w:sz w:val="24"/>
          <w:szCs w:val="24"/>
          <w:shd w:val="clear" w:color="auto" w:fill="FFFFFF"/>
          <w:lang w:eastAsia="zh-CN"/>
        </w:rPr>
        <w:t>。</w:t>
      </w:r>
    </w:p>
    <w:p>
      <w:pPr>
        <w:keepNext w:val="0"/>
        <w:keepLines w:val="0"/>
        <w:widowControl/>
        <w:suppressLineNumbers w:val="0"/>
        <w:shd w:val="clear" w:color="auto" w:fill="FFFFFF"/>
        <w:spacing w:before="30" w:beforeAutospacing="0"/>
        <w:ind w:left="0" w:firstLine="240" w:firstLineChars="100"/>
        <w:jc w:val="left"/>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承担客货运输线路、营运车辆、客货站场等服务工作;</w:t>
      </w:r>
    </w:p>
    <w:p>
      <w:pPr>
        <w:keepNext w:val="0"/>
        <w:keepLines w:val="0"/>
        <w:widowControl/>
        <w:suppressLineNumbers w:val="0"/>
        <w:shd w:val="clear" w:color="auto" w:fill="FFFFFF"/>
        <w:spacing w:before="30" w:beforeAutospacing="0" w:line="330" w:lineRule="atLeast"/>
        <w:ind w:left="0" w:firstLine="240" w:firstLineChars="100"/>
        <w:jc w:val="both"/>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十一</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承担机动车维修、机动车驾驶员培训机构和驾驶员培训服务工作;</w:t>
      </w:r>
    </w:p>
    <w:p>
      <w:pPr>
        <w:keepNext w:val="0"/>
        <w:keepLines w:val="0"/>
        <w:widowControl/>
        <w:suppressLineNumbers w:val="0"/>
        <w:shd w:val="clear" w:color="auto" w:fill="FFFFFF"/>
        <w:spacing w:before="30" w:beforeAutospacing="0" w:line="330" w:lineRule="atLeast"/>
        <w:ind w:left="0" w:firstLine="240" w:firstLineChars="100"/>
        <w:jc w:val="both"/>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十二</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协助城市公交车、出租车运营的服务工作;</w:t>
      </w:r>
    </w:p>
    <w:p>
      <w:pPr>
        <w:keepNext w:val="0"/>
        <w:keepLines w:val="0"/>
        <w:widowControl/>
        <w:suppressLineNumbers w:val="0"/>
        <w:shd w:val="clear" w:color="auto" w:fill="FFFFFF"/>
        <w:spacing w:before="30" w:beforeAutospacing="0" w:line="330" w:lineRule="atLeast"/>
        <w:ind w:left="0" w:firstLine="240" w:firstLineChars="100"/>
        <w:jc w:val="both"/>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十三</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协助做好道路运输企业全面落实安全生产管理责任工作,协助道路运输相关行政事业性收费管理及运输票证等事务工作。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下：</w:t>
      </w:r>
    </w:p>
    <w:p>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（一）综合办公室</w:t>
      </w:r>
    </w:p>
    <w:p>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负责工作：</w:t>
      </w:r>
      <w:r>
        <w:rPr>
          <w:rFonts w:hint="eastAsia" w:ascii="仿宋_GB2312" w:hAnsi="仿宋_GB2312" w:eastAsia="仿宋_GB2312" w:cs="仿宋_GB2312"/>
          <w:sz w:val="34"/>
          <w:szCs w:val="34"/>
          <w:lang w:eastAsia="zh-CN"/>
        </w:rPr>
        <w:t>负责办公室全面工作。做好文电、会务、信息、财务、资产、档案、保密、信访、文字综合、后勤保障等工作。</w:t>
      </w:r>
      <w:r>
        <w:rPr>
          <w:rFonts w:hint="eastAsia" w:ascii="仿宋" w:hAnsi="仿宋" w:eastAsia="仿宋" w:cs="仿宋"/>
          <w:color w:val="000000"/>
          <w:kern w:val="0"/>
          <w:sz w:val="32"/>
          <w:szCs w:val="32"/>
        </w:rPr>
        <w:t>负责</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机关普通收文、机要文件、传真文件、快递文件、</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报件及其他收文的登记、运转和管理工作。负责涉密文件及内部文件的登记、流转和管理工作。负责</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lang w:val="en-US" w:eastAsia="zh-CN"/>
        </w:rPr>
        <w:t>客运大队</w:t>
      </w:r>
    </w:p>
    <w:p>
      <w:pPr>
        <w:pStyle w:val="3"/>
        <w:snapToGrid w:val="0"/>
        <w:spacing w:before="0" w:beforeAutospacing="0" w:after="0" w:afterAutospacing="0" w:line="600" w:lineRule="exact"/>
        <w:jc w:val="both"/>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sz w:val="34"/>
          <w:szCs w:val="34"/>
          <w:lang w:eastAsia="zh-CN"/>
        </w:rPr>
        <w:t>工作：负责</w:t>
      </w:r>
      <w:r>
        <w:rPr>
          <w:rFonts w:hint="eastAsia" w:ascii="仿宋_GB2312" w:hAnsi="仿宋_GB2312" w:eastAsia="仿宋_GB2312" w:cs="仿宋_GB2312"/>
          <w:sz w:val="34"/>
          <w:szCs w:val="34"/>
          <w:lang w:val="en-US" w:eastAsia="zh-CN"/>
        </w:rPr>
        <w:t>全区客运车辆日常监管工作。</w:t>
      </w:r>
    </w:p>
    <w:p>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（三）货运大队</w:t>
      </w:r>
    </w:p>
    <w:p>
      <w:pPr>
        <w:pStyle w:val="3"/>
        <w:snapToGrid w:val="0"/>
        <w:spacing w:before="0" w:beforeAutospacing="0" w:after="0" w:afterAutospacing="0" w:line="600" w:lineRule="exact"/>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sz w:val="34"/>
          <w:szCs w:val="34"/>
          <w:lang w:eastAsia="zh-CN"/>
        </w:rPr>
        <w:t>工作：负责</w:t>
      </w:r>
      <w:r>
        <w:rPr>
          <w:rFonts w:hint="eastAsia" w:ascii="仿宋_GB2312" w:hAnsi="仿宋_GB2312" w:eastAsia="仿宋_GB2312" w:cs="仿宋_GB2312"/>
          <w:sz w:val="34"/>
          <w:szCs w:val="34"/>
          <w:lang w:val="en-US" w:eastAsia="zh-CN"/>
        </w:rPr>
        <w:t>全区货运车辆日常监管工作。</w:t>
      </w:r>
    </w:p>
    <w:p>
      <w:pPr>
        <w:pStyle w:val="3"/>
        <w:snapToGrid w:val="0"/>
        <w:spacing w:before="0" w:beforeAutospacing="0" w:after="0" w:afterAutospacing="0" w:line="600" w:lineRule="exact"/>
        <w:jc w:val="both"/>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（四）维修大队</w:t>
      </w:r>
    </w:p>
    <w:p>
      <w:pPr>
        <w:pStyle w:val="3"/>
        <w:snapToGrid w:val="0"/>
        <w:spacing w:before="0" w:beforeAutospacing="0" w:after="0" w:afterAutospacing="0" w:line="600" w:lineRule="exact"/>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sz w:val="34"/>
          <w:szCs w:val="34"/>
          <w:lang w:eastAsia="zh-CN"/>
        </w:rPr>
        <w:t>工作：负责</w:t>
      </w:r>
      <w:r>
        <w:rPr>
          <w:rFonts w:hint="eastAsia" w:ascii="仿宋_GB2312" w:hAnsi="仿宋_GB2312" w:eastAsia="仿宋_GB2312" w:cs="仿宋_GB2312"/>
          <w:sz w:val="34"/>
          <w:szCs w:val="34"/>
          <w:lang w:val="en-US" w:eastAsia="zh-CN"/>
        </w:rPr>
        <w:t>全区维修企业日常监管、安全工作。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路政大队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负责工作：兴隆台区农村公路的建设和养护</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财务室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负责工作：日常报销和各类会计报表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出租大队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负责工作：负责全区出租车管理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黑体" w:eastAsia="黑体"/>
          <w:sz w:val="32"/>
          <w:szCs w:val="32"/>
        </w:rPr>
      </w:pPr>
      <w:r>
        <w:rPr>
          <w:rFonts w:hint="eastAsia" w:ascii="黑体" w:eastAsia="黑体"/>
          <w:sz w:val="32"/>
          <w:szCs w:val="32"/>
        </w:rPr>
        <w:t>部门预算单位构成</w:t>
      </w:r>
    </w:p>
    <w:p>
      <w:pPr>
        <w:spacing w:line="540" w:lineRule="exact"/>
        <w:ind w:firstLine="640" w:firstLineChars="200"/>
        <w:jc w:val="left"/>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交通事务服务中心是独立核算单位，会计机构一个，无下设二级预算单位。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eastAsia="黑体"/>
          <w:sz w:val="32"/>
          <w:szCs w:val="32"/>
        </w:rPr>
      </w:pPr>
    </w:p>
    <w:p>
      <w:pPr>
        <w:numPr>
          <w:ilvl w:val="0"/>
          <w:numId w:val="0"/>
        </w:numPr>
        <w:spacing w:line="600" w:lineRule="exact"/>
        <w:jc w:val="center"/>
        <w:rPr>
          <w:rFonts w:hint="eastAsia" w:ascii="黑体" w:hAnsi="黑体" w:eastAsia="黑体" w:cs="黑体"/>
          <w:bCs/>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numPr>
          <w:ilvl w:val="0"/>
          <w:numId w:val="0"/>
        </w:numPr>
        <w:spacing w:line="480" w:lineRule="auto"/>
        <w:jc w:val="both"/>
        <w:rPr>
          <w:rFonts w:hint="eastAsia" w:ascii="黑体" w:hAnsi="黑体" w:eastAsia="黑体" w:cs="黑体"/>
          <w:b w:val="0"/>
          <w:bCs/>
          <w:sz w:val="44"/>
          <w:szCs w:val="44"/>
        </w:rPr>
      </w:pPr>
      <w:r>
        <w:rPr>
          <w:rFonts w:hint="eastAsia" w:ascii="黑体" w:hAnsi="黑体" w:eastAsia="黑体" w:cs="黑体"/>
          <w:b/>
          <w:sz w:val="44"/>
          <w:szCs w:val="44"/>
        </w:rPr>
        <w:t>盘锦</w:t>
      </w:r>
      <w:r>
        <w:rPr>
          <w:rFonts w:hint="eastAsia" w:ascii="黑体" w:hAnsi="黑体" w:eastAsia="黑体" w:cs="黑体"/>
          <w:b/>
          <w:sz w:val="44"/>
          <w:szCs w:val="44"/>
          <w:lang w:eastAsia="zh-CN"/>
        </w:rPr>
        <w:t>市</w:t>
      </w:r>
      <w:r>
        <w:rPr>
          <w:rFonts w:hint="eastAsia" w:ascii="黑体" w:hAnsi="黑体" w:eastAsia="黑体" w:cs="黑体"/>
          <w:b/>
          <w:sz w:val="44"/>
          <w:szCs w:val="44"/>
        </w:rPr>
        <w:t>兴隆台区</w:t>
      </w:r>
      <w:r>
        <w:rPr>
          <w:rFonts w:hint="eastAsia" w:ascii="黑体" w:hAnsi="黑体" w:eastAsia="黑体" w:cs="黑体"/>
          <w:b/>
          <w:sz w:val="44"/>
          <w:szCs w:val="44"/>
          <w:lang w:val="en-US" w:eastAsia="zh-CN"/>
        </w:rPr>
        <w:t>交通事务服务中心</w:t>
      </w:r>
      <w:r>
        <w:rPr>
          <w:rFonts w:hint="eastAsia" w:ascii="黑体" w:hAnsi="黑体" w:eastAsia="黑体" w:cs="黑体"/>
          <w:b w:val="0"/>
          <w:bCs/>
          <w:sz w:val="44"/>
          <w:szCs w:val="44"/>
          <w:lang w:eastAsia="zh-CN"/>
        </w:rPr>
        <w:t>202</w:t>
      </w:r>
      <w:r>
        <w:rPr>
          <w:rFonts w:hint="eastAsia" w:ascii="黑体" w:hAnsi="黑体" w:eastAsia="黑体" w:cs="黑体"/>
          <w:b w:val="0"/>
          <w:bCs/>
          <w:sz w:val="44"/>
          <w:szCs w:val="44"/>
          <w:lang w:val="en-US" w:eastAsia="zh-CN"/>
        </w:rPr>
        <w:t>2</w:t>
      </w:r>
      <w:r>
        <w:rPr>
          <w:rFonts w:hint="eastAsia" w:ascii="黑体" w:hAnsi="黑体" w:eastAsia="黑体" w:cs="黑体"/>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spacing w:line="360" w:lineRule="auto"/>
        <w:ind w:firstLine="624" w:firstLineChars="195"/>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cs="宋体"/>
          <w:b/>
          <w:bCs/>
          <w:sz w:val="44"/>
          <w:szCs w:val="44"/>
          <w:lang w:val="en-US" w:eastAsia="zh-CN"/>
        </w:rPr>
        <w:t>交通事务服务中心</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2</w:t>
      </w:r>
      <w:r>
        <w:rPr>
          <w:rFonts w:hint="eastAsia" w:ascii="仿宋" w:hAnsi="仿宋" w:eastAsia="仿宋" w:cs="仿宋"/>
          <w:sz w:val="32"/>
        </w:rPr>
        <w:t>年盘锦市</w:t>
      </w:r>
      <w:r>
        <w:rPr>
          <w:rFonts w:hint="eastAsia" w:ascii="仿宋" w:hAnsi="仿宋" w:eastAsia="仿宋" w:cs="仿宋"/>
          <w:sz w:val="32"/>
          <w:lang w:eastAsia="zh-CN"/>
        </w:rPr>
        <w:t>兴隆台区</w:t>
      </w:r>
      <w:r>
        <w:rPr>
          <w:rFonts w:hint="eastAsia" w:ascii="仿宋" w:hAnsi="仿宋" w:eastAsia="仿宋" w:cs="仿宋"/>
          <w:sz w:val="32"/>
          <w:lang w:val="en-US" w:eastAsia="zh-CN"/>
        </w:rPr>
        <w:t>交通事务服务中心</w:t>
      </w:r>
      <w:r>
        <w:rPr>
          <w:rFonts w:hint="eastAsia" w:ascii="仿宋" w:hAnsi="仿宋" w:eastAsia="仿宋" w:cs="仿宋"/>
          <w:sz w:val="32"/>
        </w:rPr>
        <w:t>所有收入和支出均纳入部门预算管理。其中：</w:t>
      </w:r>
    </w:p>
    <w:p>
      <w:pPr>
        <w:numPr>
          <w:ilvl w:val="0"/>
          <w:numId w:val="4"/>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41.50</w:t>
      </w:r>
      <w:r>
        <w:rPr>
          <w:rFonts w:hint="eastAsia" w:ascii="楷体" w:hAnsi="楷体" w:eastAsia="楷体" w:cs="楷体"/>
          <w:sz w:val="32"/>
        </w:rPr>
        <w:t>万元，包括：</w:t>
      </w:r>
    </w:p>
    <w:p>
      <w:pPr>
        <w:numPr>
          <w:ilvl w:val="0"/>
          <w:numId w:val="5"/>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41.50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41.50</w:t>
      </w:r>
      <w:r>
        <w:rPr>
          <w:rFonts w:hint="eastAsia" w:ascii="楷体" w:hAnsi="楷体" w:eastAsia="楷体" w:cs="楷体"/>
          <w:sz w:val="32"/>
        </w:rPr>
        <w:t>万元，包括：</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31.50</w:t>
      </w:r>
      <w:r>
        <w:rPr>
          <w:rFonts w:hint="eastAsia" w:ascii="仿宋_GB2312" w:hAnsi="仿宋_GB2312" w:eastAsia="仿宋_GB2312" w:cs="仿宋_GB2312"/>
          <w:sz w:val="32"/>
        </w:rPr>
        <w:t>万元；</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万元。</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val="en-US" w:eastAsia="zh-CN"/>
        </w:rPr>
        <w:t>增加24.80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上涨60</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增加24.80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增加60</w:t>
      </w:r>
      <w:r>
        <w:rPr>
          <w:rFonts w:hint="eastAsia" w:ascii="仿宋_GB2312" w:hAnsi="仿宋_GB2312" w:eastAsia="仿宋_GB2312" w:cs="仿宋_GB2312"/>
          <w:sz w:val="32"/>
        </w:rPr>
        <w:t>%。增减变化的主要原因是</w:t>
      </w:r>
      <w:r>
        <w:rPr>
          <w:rFonts w:hint="eastAsia" w:ascii="仿宋_GB2312" w:hAnsi="仿宋_GB2312" w:eastAsia="仿宋_GB2312" w:cs="仿宋_GB2312"/>
          <w:sz w:val="32"/>
          <w:lang w:val="en-US" w:eastAsia="zh-CN"/>
        </w:rPr>
        <w:t>公务用车维护费增加</w:t>
      </w:r>
      <w:r>
        <w:rPr>
          <w:rFonts w:hint="eastAsia" w:ascii="仿宋_GB2312" w:hAnsi="仿宋_GB2312" w:eastAsia="仿宋_GB2312" w:cs="仿宋_GB2312"/>
          <w:sz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年度“三公”经费预算支出安排</w:t>
      </w:r>
      <w:r>
        <w:rPr>
          <w:rFonts w:hint="eastAsia" w:ascii="仿宋" w:hAnsi="仿宋" w:eastAsia="仿宋" w:cs="仿宋"/>
          <w:sz w:val="32"/>
          <w:lang w:val="en-US" w:eastAsia="zh-CN"/>
        </w:rPr>
        <w:t>31.50</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rPr>
        <w:t>上年</w:t>
      </w:r>
      <w:r>
        <w:rPr>
          <w:rFonts w:hint="eastAsia" w:ascii="仿宋" w:hAnsi="仿宋" w:eastAsia="仿宋" w:cs="仿宋"/>
          <w:sz w:val="32"/>
          <w:lang w:val="en-US" w:eastAsia="zh-CN"/>
        </w:rPr>
        <w:t>增加19.32</w:t>
      </w:r>
      <w:r>
        <w:rPr>
          <w:rFonts w:hint="eastAsia" w:ascii="仿宋" w:hAnsi="仿宋" w:eastAsia="仿宋" w:cs="仿宋"/>
          <w:sz w:val="32"/>
        </w:rPr>
        <w:t>。其中：</w:t>
      </w:r>
    </w:p>
    <w:p>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1</w:t>
      </w:r>
      <w:r>
        <w:rPr>
          <w:rFonts w:hint="eastAsia" w:ascii="仿宋" w:hAnsi="仿宋" w:eastAsia="仿宋" w:cs="仿宋"/>
          <w:sz w:val="32"/>
        </w:rPr>
        <w:t>年持平</w:t>
      </w:r>
      <w:r>
        <w:rPr>
          <w:rFonts w:hint="eastAsia" w:ascii="仿宋" w:hAnsi="仿宋" w:eastAsia="仿宋" w:cs="仿宋"/>
          <w:sz w:val="32"/>
          <w:lang w:eastAsia="zh-CN"/>
        </w:rPr>
        <w:t>。</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hint="eastAsia" w:ascii="仿宋" w:hAnsi="仿宋" w:eastAsia="仿宋" w:cs="仿宋"/>
          <w:sz w:val="32"/>
          <w:lang w:val="en-US" w:eastAsia="zh-CN"/>
        </w:rPr>
        <w:t>31.50</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rPr>
        <w:t>上年</w:t>
      </w:r>
      <w:r>
        <w:rPr>
          <w:rFonts w:hint="eastAsia" w:ascii="仿宋" w:hAnsi="仿宋" w:eastAsia="仿宋" w:cs="仿宋"/>
          <w:sz w:val="32"/>
          <w:lang w:val="en-US" w:eastAsia="zh-CN"/>
        </w:rPr>
        <w:t>增加19.32万元</w:t>
      </w:r>
      <w:r>
        <w:rPr>
          <w:rFonts w:hint="eastAsia" w:ascii="仿宋" w:hAnsi="仿宋" w:eastAsia="仿宋" w:cs="仿宋"/>
          <w:sz w:val="32"/>
        </w:rPr>
        <w:t>。</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600" w:lineRule="exact"/>
        <w:ind w:firstLine="624" w:firstLineChars="195"/>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41.50</w:t>
      </w:r>
      <w:r>
        <w:rPr>
          <w:rFonts w:hint="eastAsia" w:ascii="仿宋_GB2312" w:hAnsi="仿宋_GB2312" w:eastAsia="仿宋_GB2312" w:cs="仿宋_GB2312"/>
          <w:sz w:val="32"/>
        </w:rPr>
        <w:t>万元，交通费除外，其它运行经费和去年持平。主要原因是严格执行厉行节约“八项规定”压缩一般性支出，牢固树立“过紧日子”的思想。主要包括：</w:t>
      </w:r>
      <w:r>
        <w:rPr>
          <w:rFonts w:hint="eastAsia" w:ascii="仿宋_GB2312" w:hAnsi="仿宋_GB2312" w:eastAsia="仿宋_GB2312" w:cs="仿宋_GB2312"/>
          <w:sz w:val="32"/>
          <w:lang w:val="en-US" w:eastAsia="zh-CN"/>
        </w:rPr>
        <w:t>工本费2万元，安全生产监督检查经费8万元，</w:t>
      </w:r>
      <w:bookmarkStart w:id="0" w:name="_GoBack"/>
      <w:bookmarkEnd w:id="0"/>
      <w:r>
        <w:rPr>
          <w:rFonts w:hint="eastAsia" w:ascii="仿宋_GB2312" w:hAnsi="仿宋_GB2312" w:eastAsia="仿宋_GB2312" w:cs="仿宋_GB2312"/>
          <w:sz w:val="32"/>
          <w:lang w:val="en-US" w:eastAsia="zh-CN"/>
        </w:rPr>
        <w:t>公务用车维护费31.50万元。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1</w:t>
      </w:r>
      <w:r>
        <w:rPr>
          <w:rFonts w:hint="eastAsia" w:ascii="仿宋" w:hAnsi="仿宋" w:eastAsia="仿宋" w:cs="仿宋"/>
          <w:sz w:val="32"/>
        </w:rPr>
        <w:t>年12月31日，盘锦市兴隆台区</w:t>
      </w:r>
      <w:r>
        <w:rPr>
          <w:rFonts w:hint="eastAsia" w:ascii="仿宋" w:hAnsi="仿宋" w:eastAsia="仿宋" w:cs="仿宋"/>
          <w:sz w:val="32"/>
          <w:lang w:val="en-US" w:eastAsia="zh-CN"/>
        </w:rPr>
        <w:t>交通事务服务中心</w:t>
      </w:r>
      <w:r>
        <w:rPr>
          <w:rFonts w:hint="eastAsia" w:ascii="仿宋" w:hAnsi="仿宋" w:eastAsia="仿宋" w:cs="仿宋"/>
          <w:sz w:val="32"/>
        </w:rPr>
        <w:t>资产总额</w:t>
      </w:r>
      <w:r>
        <w:rPr>
          <w:rFonts w:hint="eastAsia" w:ascii="仿宋" w:hAnsi="仿宋" w:eastAsia="仿宋" w:cs="仿宋"/>
          <w:sz w:val="32"/>
          <w:lang w:val="en-US" w:eastAsia="zh-CN"/>
        </w:rPr>
        <w:t>0</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0</w:t>
      </w:r>
      <w:r>
        <w:rPr>
          <w:rFonts w:hint="eastAsia" w:ascii="仿宋" w:hAnsi="仿宋" w:eastAsia="仿宋" w:cs="仿宋"/>
          <w:sz w:val="32"/>
        </w:rPr>
        <w:t>元（原值）。固定资产中共有车辆</w:t>
      </w:r>
      <w:r>
        <w:rPr>
          <w:rFonts w:hint="eastAsia" w:ascii="仿宋" w:hAnsi="仿宋" w:eastAsia="仿宋" w:cs="仿宋"/>
          <w:sz w:val="32"/>
          <w:lang w:val="en-US" w:eastAsia="zh-CN"/>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val="en-US" w:eastAsia="zh-CN"/>
        </w:rPr>
        <w:t>交通事务服务中心</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万元，编制绩效目标的项目覆盖率（实际编制绩效目标的项目/应编制绩效目标的项目）为100%。</w:t>
      </w:r>
    </w:p>
    <w:p>
      <w:pPr>
        <w:spacing w:line="480" w:lineRule="auto"/>
        <w:jc w:val="left"/>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pPr>
        <w:spacing w:line="540" w:lineRule="exact"/>
        <w:jc w:val="center"/>
        <w:rPr>
          <w:rFonts w:ascii="仿宋_GB2312" w:eastAsia="仿宋_GB2312"/>
          <w:b/>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2E62C2"/>
    <w:multiLevelType w:val="singleLevel"/>
    <w:tmpl w:val="0C2E62C2"/>
    <w:lvl w:ilvl="0" w:tentative="0">
      <w:start w:val="5"/>
      <w:numFmt w:val="chineseCounting"/>
      <w:suff w:val="nothing"/>
      <w:lvlText w:val="（%1）"/>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660D3D4"/>
    <w:multiLevelType w:val="singleLevel"/>
    <w:tmpl w:val="6660D3D4"/>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GRmZTdkZDI4NjRiNzEwOTQ4ZTMxMmQ5ZjA3NzcifQ=="/>
  </w:docVars>
  <w:rsids>
    <w:rsidRoot w:val="0FB15C0E"/>
    <w:rsid w:val="01E55F01"/>
    <w:rsid w:val="02360DE8"/>
    <w:rsid w:val="0FB15C0E"/>
    <w:rsid w:val="10C978DA"/>
    <w:rsid w:val="12163E86"/>
    <w:rsid w:val="1A661F1A"/>
    <w:rsid w:val="1DFE04BD"/>
    <w:rsid w:val="23E82E57"/>
    <w:rsid w:val="2D406F82"/>
    <w:rsid w:val="3A334239"/>
    <w:rsid w:val="3EDC3108"/>
    <w:rsid w:val="519813F7"/>
    <w:rsid w:val="52F94167"/>
    <w:rsid w:val="549464D0"/>
    <w:rsid w:val="60FE7C04"/>
    <w:rsid w:val="621418D5"/>
    <w:rsid w:val="682E6559"/>
    <w:rsid w:val="6CBB1B0F"/>
    <w:rsid w:val="6FF41C5B"/>
    <w:rsid w:val="73E943BC"/>
    <w:rsid w:val="79E24686"/>
    <w:rsid w:val="7BA8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CZ-PC034</cp:lastModifiedBy>
  <dcterms:modified xsi:type="dcterms:W3CDTF">2023-09-13T04:03:21Z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9146CB8AA78041299657C234ACB1D55C_13</vt:lpwstr>
  </property>
</Properties>
</file>